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30D73" w:rsidR="00F30D73" w:rsidP="00F30D73" w:rsidRDefault="00F30D73" w14:paraId="5a93107" w14:textId="5a93107">
      <w:pPr>
        <w:jc w:val="right"/>
        <w15:collapsed w:val="false"/>
      </w:pPr>
      <w:bookmarkStart w:name="_GoBack" w:id="0"/>
      <w:bookmarkEnd w:id="0"/>
      <w:r w:rsidRPr="00F30D73">
        <w:t>1</w:t>
      </w:r>
      <w:r>
        <w:t xml:space="preserve"> </w:t>
      </w:r>
      <w:r w:rsidRPr="00F30D73">
        <w:t>S</w:t>
      </w:r>
      <w:r>
        <w:t>t</w:t>
      </w:r>
      <w:r w:rsidRPr="00F30D73">
        <w:t>-</w:t>
      </w:r>
      <w:r w:rsidR="00726B03">
        <w:t>11</w:t>
      </w:r>
      <w:r w:rsidRPr="00F30D73">
        <w:t>/</w:t>
      </w:r>
      <w:r w:rsidR="00651E9B">
        <w:t>20</w:t>
      </w:r>
      <w:r w:rsidR="00726B03">
        <w:t>19</w:t>
      </w:r>
      <w:r w:rsidR="00B30EDC">
        <w:t>-</w:t>
      </w:r>
      <w:r w:rsidR="00726B03">
        <w:t>78</w:t>
      </w:r>
    </w:p>
    <w:p w:rsidRPr="00F24E03" w:rsidR="008E380D" w:rsidP="009E003C" w:rsidRDefault="008E380D"/>
    <w:p w:rsidRPr="00F24E03" w:rsidR="009E003C" w:rsidP="009E003C" w:rsidRDefault="009E003C">
      <w:pPr>
        <w:jc w:val="center"/>
      </w:pPr>
      <w:r w:rsidRPr="00F24E03">
        <w:t>Z A P I S N I K</w:t>
      </w:r>
    </w:p>
    <w:p w:rsidRPr="00F24E03" w:rsidR="009E003C" w:rsidP="009E003C" w:rsidRDefault="009E003C">
      <w:pPr>
        <w:jc w:val="center"/>
      </w:pPr>
    </w:p>
    <w:p w:rsidR="00F24E03" w:rsidP="009E003C" w:rsidRDefault="009E003C">
      <w:pPr>
        <w:jc w:val="both"/>
      </w:pPr>
      <w:r w:rsidRPr="00F24E03">
        <w:t>sa SKUPŠTINE VJEROVNIKA</w:t>
      </w:r>
      <w:r w:rsidRPr="00F24E03" w:rsidR="00EC4814">
        <w:t xml:space="preserve"> održane</w:t>
      </w:r>
      <w:r w:rsidRPr="00F24E03">
        <w:t xml:space="preserve"> kod Trgovačkog suda u Zadru, u stečajnom postupku nad stečajnim dužnikom </w:t>
      </w:r>
      <w:r w:rsidR="00726B03">
        <w:t xml:space="preserve">LUNA HOTEL </w:t>
      </w:r>
      <w:r w:rsidRPr="005D3532" w:rsidR="00726B03">
        <w:t>d.o.o.</w:t>
      </w:r>
      <w:r w:rsidR="00726B03">
        <w:t xml:space="preserve"> u stečaju</w:t>
      </w:r>
      <w:r w:rsidRPr="005D3532" w:rsidR="00726B03">
        <w:t xml:space="preserve">, </w:t>
      </w:r>
      <w:r w:rsidR="00726B03">
        <w:t>Split</w:t>
      </w:r>
      <w:r w:rsidRPr="005D3532" w:rsidR="00726B03">
        <w:t xml:space="preserve">, </w:t>
      </w:r>
      <w:r w:rsidR="00726B03">
        <w:t>114. brigade 12</w:t>
      </w:r>
      <w:r w:rsidRPr="005D3532" w:rsidR="00726B03">
        <w:t xml:space="preserve">, OIB: </w:t>
      </w:r>
      <w:r w:rsidR="00726B03">
        <w:t>31558008249</w:t>
      </w:r>
      <w:r w:rsidR="00F30D73">
        <w:t>,</w:t>
      </w:r>
      <w:r w:rsidRPr="00F24E03">
        <w:t xml:space="preserve"> </w:t>
      </w:r>
      <w:r w:rsidR="00726B03">
        <w:t>23</w:t>
      </w:r>
      <w:r w:rsidR="00651E9B">
        <w:t xml:space="preserve">. </w:t>
      </w:r>
      <w:r w:rsidR="00726B03">
        <w:t>rujna 2020</w:t>
      </w:r>
      <w:r w:rsidR="00651E9B">
        <w:t>.</w:t>
      </w:r>
    </w:p>
    <w:p w:rsidR="00F30D73" w:rsidP="009E003C" w:rsidRDefault="00F30D73">
      <w:pPr>
        <w:jc w:val="both"/>
      </w:pPr>
    </w:p>
    <w:p w:rsidRPr="00C54F05" w:rsidR="009E003C" w:rsidP="009E003C" w:rsidRDefault="009E003C">
      <w:pPr>
        <w:jc w:val="both"/>
      </w:pPr>
      <w:r w:rsidRPr="00C54F05">
        <w:t>Nazočni od suda:</w:t>
      </w:r>
    </w:p>
    <w:p w:rsidRPr="00C54F05" w:rsidR="009E003C" w:rsidP="009E003C" w:rsidRDefault="009E003C">
      <w:pPr>
        <w:jc w:val="both"/>
      </w:pPr>
    </w:p>
    <w:p w:rsidRPr="00C54F05" w:rsidR="009E003C" w:rsidP="009E003C" w:rsidRDefault="009E003C">
      <w:pPr>
        <w:numPr>
          <w:ilvl w:val="0"/>
          <w:numId w:val="1"/>
        </w:numPr>
        <w:jc w:val="both"/>
      </w:pPr>
      <w:r w:rsidRPr="00C54F05">
        <w:t xml:space="preserve">Ardena Bajlo, </w:t>
      </w:r>
      <w:r w:rsidR="00651E9B">
        <w:t>sutkinja</w:t>
      </w:r>
    </w:p>
    <w:p w:rsidRPr="00C54F05" w:rsidR="009E003C" w:rsidP="009E003C" w:rsidRDefault="004041A5">
      <w:pPr>
        <w:numPr>
          <w:ilvl w:val="0"/>
          <w:numId w:val="1"/>
        </w:numPr>
        <w:jc w:val="both"/>
      </w:pPr>
      <w:r>
        <w:t>Ante Rubelj</w:t>
      </w:r>
      <w:r w:rsidRPr="00C54F05" w:rsidR="009E003C">
        <w:t>, zapisničar</w:t>
      </w:r>
    </w:p>
    <w:p w:rsidRPr="00C54F05" w:rsidR="009E003C" w:rsidP="009E003C" w:rsidRDefault="009E003C">
      <w:pPr>
        <w:jc w:val="both"/>
      </w:pPr>
    </w:p>
    <w:p w:rsidRPr="00C54F05" w:rsidR="009E003C" w:rsidP="009E003C" w:rsidRDefault="00350A4A">
      <w:pPr>
        <w:tabs>
          <w:tab w:val="left" w:pos="480"/>
        </w:tabs>
      </w:pPr>
      <w:r>
        <w:t>Početak u</w:t>
      </w:r>
      <w:r w:rsidR="00116AE8">
        <w:t xml:space="preserve"> </w:t>
      </w:r>
      <w:r w:rsidR="00893E95">
        <w:t>9</w:t>
      </w:r>
      <w:r w:rsidR="00651E9B">
        <w:t>,</w:t>
      </w:r>
      <w:r w:rsidR="00AC04BC">
        <w:t>18</w:t>
      </w:r>
      <w:r w:rsidRPr="00C54F05" w:rsidR="00A5237A">
        <w:t xml:space="preserve"> </w:t>
      </w:r>
      <w:r w:rsidRPr="00C54F05" w:rsidR="009E003C">
        <w:t>sati.</w:t>
      </w:r>
    </w:p>
    <w:p w:rsidRPr="00C54F05" w:rsidR="009E003C" w:rsidP="009E003C" w:rsidRDefault="009E003C">
      <w:pPr>
        <w:ind w:left="360"/>
      </w:pPr>
    </w:p>
    <w:p w:rsidRPr="00C54F05" w:rsidR="009E003C" w:rsidP="009E003C" w:rsidRDefault="00726B03">
      <w:pPr>
        <w:jc w:val="both"/>
      </w:pPr>
      <w:r>
        <w:t>Utvrđuje se da je nazočna</w:t>
      </w:r>
      <w:r w:rsidR="008D744A">
        <w:t xml:space="preserve"> </w:t>
      </w:r>
      <w:r>
        <w:t>Ivanka Bosotina</w:t>
      </w:r>
      <w:r w:rsidR="00651E9B">
        <w:t>,</w:t>
      </w:r>
      <w:r w:rsidRPr="00C54F05" w:rsidR="009E003C">
        <w:t xml:space="preserve"> stečajn</w:t>
      </w:r>
      <w:r>
        <w:t>a</w:t>
      </w:r>
      <w:r w:rsidRPr="00C54F05" w:rsidR="009E003C">
        <w:t xml:space="preserve"> upravitelj</w:t>
      </w:r>
      <w:r>
        <w:t>ica</w:t>
      </w:r>
      <w:r w:rsidRPr="00C54F05" w:rsidR="009E003C">
        <w:t>.</w:t>
      </w:r>
    </w:p>
    <w:p w:rsidR="009E003C" w:rsidP="009E003C" w:rsidRDefault="009E003C">
      <w:pPr>
        <w:jc w:val="both"/>
      </w:pPr>
    </w:p>
    <w:p w:rsidR="00793082" w:rsidP="00793082" w:rsidRDefault="00793082">
      <w:pPr>
        <w:ind w:left="360" w:hanging="360"/>
        <w:jc w:val="both"/>
      </w:pPr>
      <w:r w:rsidRPr="00C54F05">
        <w:t>Nazočni od vjerovnika:</w:t>
      </w:r>
      <w:r w:rsidR="00EE5C42">
        <w:t xml:space="preserve"> </w:t>
      </w:r>
    </w:p>
    <w:p w:rsidR="00FA1F3A" w:rsidP="00B061C4" w:rsidRDefault="00273CAC">
      <w:pPr>
        <w:pStyle w:val="Odlomakpopisa"/>
        <w:numPr>
          <w:ilvl w:val="0"/>
          <w:numId w:val="26"/>
        </w:numPr>
        <w:jc w:val="both"/>
      </w:pPr>
      <w:r>
        <w:t xml:space="preserve">za </w:t>
      </w:r>
      <w:r w:rsidR="00AC04BC">
        <w:t>OSTREA d.o.o. u steačju, stečajni upravitelj Željko Vrkić</w:t>
      </w:r>
    </w:p>
    <w:p w:rsidR="00AC04BC" w:rsidP="00B061C4" w:rsidRDefault="00AC04BC">
      <w:pPr>
        <w:pStyle w:val="Odlomakpopisa"/>
        <w:numPr>
          <w:ilvl w:val="0"/>
          <w:numId w:val="26"/>
        </w:numPr>
        <w:jc w:val="both"/>
      </w:pPr>
      <w:r>
        <w:t>za HPB Marisa Čadež, punomoćnica po zaposlenju - zaposlenica</w:t>
      </w:r>
    </w:p>
    <w:p w:rsidR="00726B03" w:rsidP="00793082" w:rsidRDefault="00726B03">
      <w:pPr>
        <w:ind w:left="360" w:hanging="360"/>
        <w:jc w:val="both"/>
      </w:pPr>
    </w:p>
    <w:tbl>
      <w:tblPr>
        <w:tblW w:w="8160" w:type="dxa"/>
        <w:tblInd w:w="93" w:type="dxa"/>
        <w:tblLook w:firstRow="1" w:lastRow="0" w:firstColumn="1" w:lastColumn="0" w:noHBand="0" w:noVBand="1" w:val="04A0"/>
      </w:tblPr>
      <w:tblGrid>
        <w:gridCol w:w="621"/>
        <w:gridCol w:w="2480"/>
        <w:gridCol w:w="1860"/>
        <w:gridCol w:w="2200"/>
        <w:gridCol w:w="1272"/>
      </w:tblGrid>
      <w:tr w:rsidR="00AC04BC" w:rsidTr="00AC04BC">
        <w:trPr>
          <w:trHeight w:val="360"/>
        </w:trPr>
        <w:tc>
          <w:tcPr>
            <w:tcW w:w="4780" w:type="dxa"/>
            <w:gridSpan w:val="3"/>
            <w:tcBorders>
              <w:top w:val="nil"/>
              <w:left w:val="nil"/>
              <w:bottom w:val="nil"/>
              <w:right w:val="nil"/>
            </w:tcBorders>
            <w:shd w:val="clear" w:color="auto" w:fill="auto"/>
            <w:noWrap/>
            <w:vAlign w:val="bottom"/>
            <w:hideMark/>
          </w:tcPr>
          <w:p w:rsidR="00AC04BC" w:rsidRDefault="00AC04BC">
            <w:pPr>
              <w:jc w:val="center"/>
              <w:rPr>
                <w:rFonts w:ascii="Arial" w:hAnsi="Arial" w:cs="Arial"/>
                <w:b/>
                <w:bCs/>
              </w:rPr>
            </w:pPr>
            <w:r>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00AC04BC" w:rsidRDefault="00AC04BC">
            <w:pPr>
              <w:jc w:val="right"/>
              <w:rPr>
                <w:rFonts w:ascii="Arial" w:hAnsi="Arial" w:cs="Arial"/>
                <w:b/>
                <w:bCs/>
                <w:color w:val="000000"/>
                <w:sz w:val="28"/>
                <w:szCs w:val="28"/>
              </w:rPr>
            </w:pPr>
            <w:r>
              <w:rPr>
                <w:rFonts w:ascii="Arial" w:hAnsi="Arial" w:cs="Arial"/>
                <w:b/>
                <w:bCs/>
                <w:color w:val="000000"/>
                <w:sz w:val="28"/>
                <w:szCs w:val="28"/>
              </w:rPr>
              <w:t>72.825.102,88</w:t>
            </w:r>
          </w:p>
        </w:tc>
        <w:tc>
          <w:tcPr>
            <w:tcW w:w="118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p>
        </w:tc>
      </w:tr>
      <w:tr w:rsidR="00AC04BC" w:rsidTr="00AC04BC">
        <w:trPr>
          <w:trHeight w:val="255"/>
        </w:trPr>
        <w:tc>
          <w:tcPr>
            <w:tcW w:w="44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p>
        </w:tc>
        <w:tc>
          <w:tcPr>
            <w:tcW w:w="248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p>
        </w:tc>
      </w:tr>
      <w:tr w:rsidR="00AC04BC" w:rsidTr="00AC04BC">
        <w:trPr>
          <w:trHeight w:val="255"/>
        </w:trPr>
        <w:tc>
          <w:tcPr>
            <w:tcW w:w="44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p>
        </w:tc>
        <w:tc>
          <w:tcPr>
            <w:tcW w:w="248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p>
        </w:tc>
      </w:tr>
      <w:tr w:rsidR="00AC04BC" w:rsidTr="00AC04BC">
        <w:trPr>
          <w:trHeight w:val="300"/>
        </w:trPr>
        <w:tc>
          <w:tcPr>
            <w:tcW w:w="44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p>
        </w:tc>
        <w:tc>
          <w:tcPr>
            <w:tcW w:w="248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00AC04BC" w:rsidRDefault="00AC04BC">
            <w:pPr>
              <w:jc w:val="right"/>
              <w:rPr>
                <w:rFonts w:ascii="Arial" w:hAnsi="Arial" w:cs="Arial"/>
                <w:b/>
                <w:bCs/>
                <w:i/>
                <w:iCs/>
                <w:color w:val="FF0000"/>
              </w:rPr>
            </w:pPr>
            <w:r>
              <w:rPr>
                <w:rFonts w:ascii="Arial" w:hAnsi="Arial" w:cs="Arial"/>
                <w:b/>
                <w:bCs/>
                <w:i/>
                <w:iCs/>
                <w:color w:val="FF0000"/>
              </w:rPr>
              <w:t>66.836.523,18</w:t>
            </w:r>
          </w:p>
        </w:tc>
        <w:tc>
          <w:tcPr>
            <w:tcW w:w="2200" w:type="dxa"/>
            <w:tcBorders>
              <w:top w:val="nil"/>
              <w:left w:val="nil"/>
              <w:bottom w:val="nil"/>
              <w:right w:val="nil"/>
            </w:tcBorders>
            <w:shd w:val="clear" w:color="auto" w:fill="auto"/>
            <w:noWrap/>
            <w:vAlign w:val="bottom"/>
            <w:hideMark/>
          </w:tcPr>
          <w:p w:rsidR="00AC04BC" w:rsidRDefault="00AC04BC">
            <w:pPr>
              <w:jc w:val="center"/>
              <w:rPr>
                <w:rFonts w:ascii="Arial" w:hAnsi="Arial" w:cs="Arial"/>
                <w:b/>
                <w:bCs/>
                <w:i/>
                <w:iCs/>
                <w:color w:val="993300"/>
              </w:rPr>
            </w:pPr>
            <w:r>
              <w:rPr>
                <w:rFonts w:ascii="Arial" w:hAnsi="Arial" w:cs="Arial"/>
                <w:b/>
                <w:bCs/>
                <w:i/>
                <w:iCs/>
                <w:color w:val="993300"/>
              </w:rPr>
              <w:t>91,78</w:t>
            </w:r>
          </w:p>
        </w:tc>
        <w:tc>
          <w:tcPr>
            <w:tcW w:w="1180" w:type="dxa"/>
            <w:tcBorders>
              <w:top w:val="nil"/>
              <w:left w:val="nil"/>
              <w:bottom w:val="nil"/>
              <w:right w:val="nil"/>
            </w:tcBorders>
            <w:shd w:val="clear" w:color="auto" w:fill="auto"/>
            <w:noWrap/>
            <w:vAlign w:val="bottom"/>
            <w:hideMark/>
          </w:tcPr>
          <w:p w:rsidR="00AC04BC" w:rsidRDefault="00AC04BC">
            <w:pPr>
              <w:jc w:val="center"/>
              <w:rPr>
                <w:rFonts w:ascii="Arial" w:hAnsi="Arial" w:cs="Arial"/>
                <w:b/>
                <w:bCs/>
                <w:i/>
                <w:iCs/>
                <w:color w:val="0000FF"/>
              </w:rPr>
            </w:pPr>
            <w:r>
              <w:rPr>
                <w:rFonts w:ascii="Arial" w:hAnsi="Arial" w:cs="Arial"/>
                <w:b/>
                <w:bCs/>
                <w:i/>
                <w:iCs/>
                <w:color w:val="0000FF"/>
              </w:rPr>
              <w:t>100,00</w:t>
            </w:r>
          </w:p>
        </w:tc>
      </w:tr>
      <w:tr w:rsidR="00AC04BC" w:rsidTr="00AC04BC">
        <w:trPr>
          <w:trHeight w:val="322"/>
        </w:trPr>
        <w:tc>
          <w:tcPr>
            <w:tcW w:w="440" w:type="dxa"/>
            <w:vMerge w:val="restart"/>
            <w:tcBorders>
              <w:top w:val="nil"/>
              <w:left w:val="nil"/>
              <w:bottom w:val="nil"/>
              <w:right w:val="nil"/>
            </w:tcBorders>
            <w:shd w:val="clear" w:color="auto" w:fill="auto"/>
            <w:vAlign w:val="center"/>
            <w:hideMark/>
          </w:tcPr>
          <w:p w:rsidR="00AC04BC" w:rsidRDefault="00AC04BC">
            <w:pPr>
              <w:jc w:val="center"/>
              <w:rPr>
                <w:rFonts w:ascii="Arial" w:hAnsi="Arial" w:cs="Arial"/>
                <w:b/>
                <w:bCs/>
                <w:sz w:val="28"/>
                <w:szCs w:val="28"/>
              </w:rPr>
            </w:pPr>
            <w:r>
              <w:rPr>
                <w:rFonts w:ascii="Arial" w:hAnsi="Arial" w:cs="Arial"/>
                <w:b/>
                <w:bCs/>
                <w:sz w:val="28"/>
                <w:szCs w:val="28"/>
              </w:rPr>
              <w:t>RB</w:t>
            </w:r>
          </w:p>
        </w:tc>
        <w:tc>
          <w:tcPr>
            <w:tcW w:w="2480" w:type="dxa"/>
            <w:vMerge w:val="restart"/>
            <w:tcBorders>
              <w:top w:val="nil"/>
              <w:left w:val="nil"/>
              <w:bottom w:val="nil"/>
              <w:right w:val="nil"/>
            </w:tcBorders>
            <w:shd w:val="clear" w:color="auto" w:fill="auto"/>
            <w:vAlign w:val="center"/>
            <w:hideMark/>
          </w:tcPr>
          <w:p w:rsidR="00AC04BC" w:rsidRDefault="00AC04BC">
            <w:pPr>
              <w:jc w:val="center"/>
              <w:rPr>
                <w:rFonts w:ascii="Arial" w:hAnsi="Arial" w:cs="Arial"/>
                <w:b/>
                <w:bCs/>
                <w:sz w:val="22"/>
                <w:szCs w:val="22"/>
              </w:rPr>
            </w:pPr>
            <w:r>
              <w:rPr>
                <w:rFonts w:ascii="Arial" w:hAnsi="Arial" w:cs="Arial"/>
                <w:b/>
                <w:bCs/>
                <w:sz w:val="22"/>
                <w:szCs w:val="22"/>
              </w:rPr>
              <w:t>Prisutni  na SKUPŠTINI</w:t>
            </w:r>
          </w:p>
        </w:tc>
        <w:tc>
          <w:tcPr>
            <w:tcW w:w="1860" w:type="dxa"/>
            <w:vMerge w:val="restart"/>
            <w:tcBorders>
              <w:top w:val="nil"/>
              <w:left w:val="nil"/>
              <w:bottom w:val="nil"/>
              <w:right w:val="nil"/>
            </w:tcBorders>
            <w:shd w:val="clear" w:color="auto" w:fill="auto"/>
            <w:vAlign w:val="center"/>
            <w:hideMark/>
          </w:tcPr>
          <w:p w:rsidR="00AC04BC" w:rsidRDefault="00AC04BC">
            <w:pPr>
              <w:jc w:val="center"/>
              <w:rPr>
                <w:rFonts w:ascii="Arial" w:hAnsi="Arial" w:cs="Arial"/>
                <w:b/>
                <w:bCs/>
                <w:color w:val="FF0000"/>
                <w:sz w:val="28"/>
                <w:szCs w:val="28"/>
              </w:rPr>
            </w:pPr>
            <w:r>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00AC04BC" w:rsidRDefault="00AC04BC">
            <w:pPr>
              <w:jc w:val="center"/>
              <w:rPr>
                <w:rFonts w:ascii="Arial" w:hAnsi="Arial" w:cs="Arial"/>
                <w:b/>
                <w:bCs/>
                <w:color w:val="993300"/>
                <w:sz w:val="28"/>
                <w:szCs w:val="28"/>
              </w:rPr>
            </w:pPr>
            <w:r>
              <w:rPr>
                <w:rFonts w:ascii="Arial" w:hAnsi="Arial" w:cs="Arial"/>
                <w:b/>
                <w:bCs/>
                <w:color w:val="993300"/>
                <w:sz w:val="28"/>
                <w:szCs w:val="28"/>
              </w:rPr>
              <w:t>Postotak</w:t>
            </w:r>
          </w:p>
        </w:tc>
        <w:tc>
          <w:tcPr>
            <w:tcW w:w="1180" w:type="dxa"/>
            <w:vMerge w:val="restart"/>
            <w:tcBorders>
              <w:top w:val="nil"/>
              <w:left w:val="nil"/>
              <w:bottom w:val="nil"/>
              <w:right w:val="nil"/>
            </w:tcBorders>
            <w:shd w:val="clear" w:color="auto" w:fill="auto"/>
            <w:vAlign w:val="center"/>
            <w:hideMark/>
          </w:tcPr>
          <w:p w:rsidR="00AC04BC" w:rsidRDefault="00AC04BC">
            <w:pPr>
              <w:jc w:val="center"/>
              <w:rPr>
                <w:rFonts w:ascii="Arial" w:hAnsi="Arial" w:cs="Arial"/>
                <w:color w:val="0000FF"/>
                <w:sz w:val="20"/>
                <w:szCs w:val="20"/>
              </w:rPr>
            </w:pPr>
            <w:r>
              <w:rPr>
                <w:rFonts w:ascii="Arial" w:hAnsi="Arial" w:cs="Arial"/>
                <w:color w:val="0000FF"/>
                <w:sz w:val="20"/>
                <w:szCs w:val="20"/>
              </w:rPr>
              <w:t>Glasovi  na SKUPŠTINI</w:t>
            </w:r>
          </w:p>
        </w:tc>
      </w:tr>
      <w:tr w:rsidR="00AC04BC" w:rsidTr="00AC04BC">
        <w:trPr>
          <w:trHeight w:val="480"/>
        </w:trPr>
        <w:tc>
          <w:tcPr>
            <w:tcW w:w="440" w:type="dxa"/>
            <w:vMerge/>
            <w:tcBorders>
              <w:top w:val="nil"/>
              <w:left w:val="nil"/>
              <w:bottom w:val="nil"/>
              <w:right w:val="nil"/>
            </w:tcBorders>
            <w:vAlign w:val="center"/>
            <w:hideMark/>
          </w:tcPr>
          <w:p w:rsidR="00AC04BC" w:rsidRDefault="00AC04BC">
            <w:pPr>
              <w:rPr>
                <w:rFonts w:ascii="Arial" w:hAnsi="Arial" w:cs="Arial"/>
                <w:b/>
                <w:bCs/>
                <w:sz w:val="28"/>
                <w:szCs w:val="28"/>
              </w:rPr>
            </w:pPr>
          </w:p>
        </w:tc>
        <w:tc>
          <w:tcPr>
            <w:tcW w:w="2480" w:type="dxa"/>
            <w:vMerge/>
            <w:tcBorders>
              <w:top w:val="nil"/>
              <w:left w:val="nil"/>
              <w:bottom w:val="nil"/>
              <w:right w:val="nil"/>
            </w:tcBorders>
            <w:vAlign w:val="center"/>
            <w:hideMark/>
          </w:tcPr>
          <w:p w:rsidR="00AC04BC" w:rsidRDefault="00AC04BC">
            <w:pPr>
              <w:rPr>
                <w:rFonts w:ascii="Arial" w:hAnsi="Arial" w:cs="Arial"/>
                <w:b/>
                <w:bCs/>
                <w:sz w:val="22"/>
                <w:szCs w:val="22"/>
              </w:rPr>
            </w:pPr>
          </w:p>
        </w:tc>
        <w:tc>
          <w:tcPr>
            <w:tcW w:w="1860" w:type="dxa"/>
            <w:vMerge/>
            <w:tcBorders>
              <w:top w:val="nil"/>
              <w:left w:val="nil"/>
              <w:bottom w:val="nil"/>
              <w:right w:val="nil"/>
            </w:tcBorders>
            <w:vAlign w:val="center"/>
            <w:hideMark/>
          </w:tcPr>
          <w:p w:rsidR="00AC04BC" w:rsidRDefault="00AC04BC">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00AC04BC" w:rsidRDefault="00AC04BC">
            <w:pPr>
              <w:rPr>
                <w:rFonts w:ascii="Arial" w:hAnsi="Arial" w:cs="Arial"/>
                <w:b/>
                <w:bCs/>
                <w:color w:val="993300"/>
                <w:sz w:val="28"/>
                <w:szCs w:val="28"/>
              </w:rPr>
            </w:pPr>
          </w:p>
        </w:tc>
        <w:tc>
          <w:tcPr>
            <w:tcW w:w="1180" w:type="dxa"/>
            <w:vMerge/>
            <w:tcBorders>
              <w:top w:val="nil"/>
              <w:left w:val="nil"/>
              <w:bottom w:val="nil"/>
              <w:right w:val="nil"/>
            </w:tcBorders>
            <w:vAlign w:val="center"/>
            <w:hideMark/>
          </w:tcPr>
          <w:p w:rsidR="00AC04BC" w:rsidRDefault="00AC04BC">
            <w:pPr>
              <w:rPr>
                <w:rFonts w:ascii="Arial" w:hAnsi="Arial" w:cs="Arial"/>
                <w:color w:val="0000FF"/>
                <w:sz w:val="20"/>
                <w:szCs w:val="20"/>
              </w:rPr>
            </w:pPr>
          </w:p>
        </w:tc>
      </w:tr>
      <w:tr w:rsidR="00AC04BC" w:rsidTr="00AC04BC">
        <w:trPr>
          <w:trHeight w:val="255"/>
        </w:trPr>
        <w:tc>
          <w:tcPr>
            <w:tcW w:w="440" w:type="dxa"/>
            <w:tcBorders>
              <w:top w:val="nil"/>
              <w:left w:val="nil"/>
              <w:bottom w:val="nil"/>
              <w:right w:val="nil"/>
            </w:tcBorders>
            <w:shd w:val="clear" w:color="auto" w:fill="auto"/>
            <w:noWrap/>
            <w:vAlign w:val="bottom"/>
            <w:hideMark/>
          </w:tcPr>
          <w:p w:rsidR="00AC04BC" w:rsidRDefault="00AC04BC">
            <w:pPr>
              <w:jc w:val="right"/>
              <w:rPr>
                <w:rFonts w:ascii="Arial" w:hAnsi="Arial" w:cs="Arial"/>
                <w:sz w:val="20"/>
                <w:szCs w:val="20"/>
              </w:rPr>
            </w:pPr>
            <w:r>
              <w:rPr>
                <w:rFonts w:ascii="Arial" w:hAnsi="Arial" w:cs="Arial"/>
                <w:sz w:val="20"/>
                <w:szCs w:val="20"/>
              </w:rPr>
              <w:t>1</w:t>
            </w:r>
          </w:p>
        </w:tc>
        <w:tc>
          <w:tcPr>
            <w:tcW w:w="248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r>
              <w:rPr>
                <w:rFonts w:ascii="Arial" w:hAnsi="Arial" w:cs="Arial"/>
                <w:sz w:val="20"/>
                <w:szCs w:val="20"/>
              </w:rPr>
              <w:t>hpb</w:t>
            </w:r>
          </w:p>
        </w:tc>
        <w:tc>
          <w:tcPr>
            <w:tcW w:w="1860" w:type="dxa"/>
            <w:tcBorders>
              <w:top w:val="nil"/>
              <w:left w:val="nil"/>
              <w:bottom w:val="nil"/>
              <w:right w:val="nil"/>
            </w:tcBorders>
            <w:shd w:val="clear" w:color="auto" w:fill="auto"/>
            <w:noWrap/>
            <w:vAlign w:val="bottom"/>
            <w:hideMark/>
          </w:tcPr>
          <w:p w:rsidR="00AC04BC" w:rsidRDefault="00AC04BC">
            <w:pPr>
              <w:jc w:val="right"/>
              <w:rPr>
                <w:rFonts w:ascii="Arial" w:hAnsi="Arial" w:cs="Arial"/>
                <w:sz w:val="20"/>
                <w:szCs w:val="20"/>
              </w:rPr>
            </w:pPr>
            <w:r>
              <w:rPr>
                <w:rFonts w:ascii="Arial" w:hAnsi="Arial" w:cs="Arial"/>
                <w:sz w:val="20"/>
                <w:szCs w:val="20"/>
              </w:rPr>
              <w:t>47.277.391,07</w:t>
            </w:r>
          </w:p>
        </w:tc>
        <w:tc>
          <w:tcPr>
            <w:tcW w:w="2200" w:type="dxa"/>
            <w:tcBorders>
              <w:top w:val="nil"/>
              <w:left w:val="nil"/>
              <w:bottom w:val="nil"/>
              <w:right w:val="nil"/>
            </w:tcBorders>
            <w:shd w:val="clear" w:color="auto" w:fill="auto"/>
            <w:noWrap/>
            <w:vAlign w:val="bottom"/>
            <w:hideMark/>
          </w:tcPr>
          <w:p w:rsidR="00AC04BC" w:rsidRDefault="00AC04BC">
            <w:pPr>
              <w:jc w:val="center"/>
              <w:rPr>
                <w:rFonts w:ascii="Arial" w:hAnsi="Arial" w:cs="Arial"/>
                <w:sz w:val="20"/>
                <w:szCs w:val="20"/>
              </w:rPr>
            </w:pPr>
            <w:r>
              <w:rPr>
                <w:rFonts w:ascii="Arial" w:hAnsi="Arial" w:cs="Arial"/>
                <w:sz w:val="20"/>
                <w:szCs w:val="20"/>
              </w:rPr>
              <w:t>64,92</w:t>
            </w:r>
          </w:p>
        </w:tc>
        <w:tc>
          <w:tcPr>
            <w:tcW w:w="1180" w:type="dxa"/>
            <w:tcBorders>
              <w:top w:val="nil"/>
              <w:left w:val="nil"/>
              <w:bottom w:val="nil"/>
              <w:right w:val="nil"/>
            </w:tcBorders>
            <w:shd w:val="clear" w:color="auto" w:fill="auto"/>
            <w:noWrap/>
            <w:vAlign w:val="bottom"/>
            <w:hideMark/>
          </w:tcPr>
          <w:p w:rsidR="00AC04BC" w:rsidRDefault="00AC04BC">
            <w:pPr>
              <w:jc w:val="center"/>
              <w:rPr>
                <w:rFonts w:ascii="Arial" w:hAnsi="Arial" w:cs="Arial"/>
                <w:sz w:val="20"/>
                <w:szCs w:val="20"/>
              </w:rPr>
            </w:pPr>
            <w:r>
              <w:rPr>
                <w:rFonts w:ascii="Arial" w:hAnsi="Arial" w:cs="Arial"/>
                <w:sz w:val="20"/>
                <w:szCs w:val="20"/>
              </w:rPr>
              <w:t>70,74</w:t>
            </w:r>
          </w:p>
        </w:tc>
      </w:tr>
      <w:tr w:rsidR="00AC04BC" w:rsidTr="00AC04BC">
        <w:trPr>
          <w:trHeight w:val="255"/>
        </w:trPr>
        <w:tc>
          <w:tcPr>
            <w:tcW w:w="440" w:type="dxa"/>
            <w:tcBorders>
              <w:top w:val="nil"/>
              <w:left w:val="nil"/>
              <w:bottom w:val="nil"/>
              <w:right w:val="nil"/>
            </w:tcBorders>
            <w:shd w:val="clear" w:color="auto" w:fill="auto"/>
            <w:noWrap/>
            <w:vAlign w:val="bottom"/>
            <w:hideMark/>
          </w:tcPr>
          <w:p w:rsidR="00AC04BC" w:rsidRDefault="00AC04BC">
            <w:pPr>
              <w:jc w:val="right"/>
              <w:rPr>
                <w:rFonts w:ascii="Arial" w:hAnsi="Arial" w:cs="Arial"/>
                <w:sz w:val="20"/>
                <w:szCs w:val="20"/>
              </w:rPr>
            </w:pPr>
            <w:r>
              <w:rPr>
                <w:rFonts w:ascii="Arial" w:hAnsi="Arial" w:cs="Arial"/>
                <w:sz w:val="20"/>
                <w:szCs w:val="20"/>
              </w:rPr>
              <w:t>2</w:t>
            </w:r>
          </w:p>
        </w:tc>
        <w:tc>
          <w:tcPr>
            <w:tcW w:w="2480" w:type="dxa"/>
            <w:tcBorders>
              <w:top w:val="nil"/>
              <w:left w:val="nil"/>
              <w:bottom w:val="nil"/>
              <w:right w:val="nil"/>
            </w:tcBorders>
            <w:shd w:val="clear" w:color="auto" w:fill="auto"/>
            <w:noWrap/>
            <w:vAlign w:val="bottom"/>
            <w:hideMark/>
          </w:tcPr>
          <w:p w:rsidR="00AC04BC" w:rsidRDefault="00AC04BC">
            <w:pPr>
              <w:rPr>
                <w:rFonts w:ascii="Arial" w:hAnsi="Arial" w:cs="Arial"/>
                <w:sz w:val="20"/>
                <w:szCs w:val="20"/>
              </w:rPr>
            </w:pPr>
            <w:r>
              <w:rPr>
                <w:rFonts w:ascii="Arial" w:hAnsi="Arial" w:cs="Arial"/>
                <w:sz w:val="20"/>
                <w:szCs w:val="20"/>
              </w:rPr>
              <w:t>ostrea</w:t>
            </w:r>
          </w:p>
        </w:tc>
        <w:tc>
          <w:tcPr>
            <w:tcW w:w="1860" w:type="dxa"/>
            <w:tcBorders>
              <w:top w:val="nil"/>
              <w:left w:val="nil"/>
              <w:bottom w:val="nil"/>
              <w:right w:val="nil"/>
            </w:tcBorders>
            <w:shd w:val="clear" w:color="auto" w:fill="auto"/>
            <w:noWrap/>
            <w:vAlign w:val="bottom"/>
            <w:hideMark/>
          </w:tcPr>
          <w:p w:rsidR="00AC04BC" w:rsidRDefault="00AC04BC">
            <w:pPr>
              <w:jc w:val="right"/>
              <w:rPr>
                <w:rFonts w:ascii="Arial" w:hAnsi="Arial" w:cs="Arial"/>
                <w:sz w:val="20"/>
                <w:szCs w:val="20"/>
              </w:rPr>
            </w:pPr>
            <w:r>
              <w:rPr>
                <w:rFonts w:ascii="Arial" w:hAnsi="Arial" w:cs="Arial"/>
                <w:sz w:val="20"/>
                <w:szCs w:val="20"/>
              </w:rPr>
              <w:t>19.559.132,11</w:t>
            </w:r>
          </w:p>
        </w:tc>
        <w:tc>
          <w:tcPr>
            <w:tcW w:w="2200" w:type="dxa"/>
            <w:tcBorders>
              <w:top w:val="nil"/>
              <w:left w:val="nil"/>
              <w:bottom w:val="nil"/>
              <w:right w:val="nil"/>
            </w:tcBorders>
            <w:shd w:val="clear" w:color="auto" w:fill="auto"/>
            <w:noWrap/>
            <w:vAlign w:val="bottom"/>
            <w:hideMark/>
          </w:tcPr>
          <w:p w:rsidR="00AC04BC" w:rsidRDefault="00AC04BC">
            <w:pPr>
              <w:jc w:val="center"/>
              <w:rPr>
                <w:rFonts w:ascii="Arial" w:hAnsi="Arial" w:cs="Arial"/>
                <w:sz w:val="20"/>
                <w:szCs w:val="20"/>
              </w:rPr>
            </w:pPr>
            <w:r>
              <w:rPr>
                <w:rFonts w:ascii="Arial" w:hAnsi="Arial" w:cs="Arial"/>
                <w:sz w:val="20"/>
                <w:szCs w:val="20"/>
              </w:rPr>
              <w:t>26,86</w:t>
            </w:r>
          </w:p>
        </w:tc>
        <w:tc>
          <w:tcPr>
            <w:tcW w:w="1180" w:type="dxa"/>
            <w:tcBorders>
              <w:top w:val="nil"/>
              <w:left w:val="nil"/>
              <w:bottom w:val="nil"/>
              <w:right w:val="nil"/>
            </w:tcBorders>
            <w:shd w:val="clear" w:color="auto" w:fill="auto"/>
            <w:noWrap/>
            <w:vAlign w:val="bottom"/>
            <w:hideMark/>
          </w:tcPr>
          <w:p w:rsidR="00AC04BC" w:rsidRDefault="00AC04BC">
            <w:pPr>
              <w:jc w:val="center"/>
              <w:rPr>
                <w:rFonts w:ascii="Arial" w:hAnsi="Arial" w:cs="Arial"/>
                <w:sz w:val="20"/>
                <w:szCs w:val="20"/>
              </w:rPr>
            </w:pPr>
            <w:r>
              <w:rPr>
                <w:rFonts w:ascii="Arial" w:hAnsi="Arial" w:cs="Arial"/>
                <w:sz w:val="20"/>
                <w:szCs w:val="20"/>
              </w:rPr>
              <w:t>29,26</w:t>
            </w:r>
          </w:p>
        </w:tc>
      </w:tr>
    </w:tbl>
    <w:p w:rsidR="004D5067" w:rsidP="00F71208" w:rsidRDefault="004D5067">
      <w:pPr>
        <w:jc w:val="both"/>
      </w:pPr>
    </w:p>
    <w:p w:rsidRPr="00C54F05" w:rsidR="00AC04BC" w:rsidP="00F71208" w:rsidRDefault="00AC04BC">
      <w:pPr>
        <w:jc w:val="both"/>
      </w:pPr>
    </w:p>
    <w:p w:rsidRPr="00C54F05" w:rsidR="001648F1" w:rsidP="001648F1" w:rsidRDefault="009E003C">
      <w:pPr>
        <w:jc w:val="both"/>
      </w:pPr>
      <w:r w:rsidRPr="00C54F05">
        <w:t>Utvrđuje se da je oglas o održavanju današnje skupštine vjerovnika objavljen</w:t>
      </w:r>
      <w:r w:rsidR="002316EC">
        <w:t xml:space="preserve"> na e-oglasnoj ploči suda</w:t>
      </w:r>
      <w:r w:rsidRPr="00C54F05">
        <w:t xml:space="preserve"> </w:t>
      </w:r>
      <w:r w:rsidR="002316EC">
        <w:t>dana</w:t>
      </w:r>
      <w:r w:rsidR="006A09A4">
        <w:t xml:space="preserve"> </w:t>
      </w:r>
      <w:r w:rsidR="00726B03">
        <w:t>3</w:t>
      </w:r>
      <w:r w:rsidR="00651E9B">
        <w:t xml:space="preserve">. </w:t>
      </w:r>
      <w:r w:rsidR="00726B03">
        <w:t>srpnja 2020</w:t>
      </w:r>
      <w:r w:rsidR="005F0790">
        <w:t>.</w:t>
      </w:r>
      <w:r w:rsidRPr="00C54F05" w:rsidR="00E4499D">
        <w:t xml:space="preserve"> </w:t>
      </w:r>
      <w:r w:rsidRPr="00C54F05">
        <w:t>sa dnevnim redom</w:t>
      </w:r>
      <w:r w:rsidRPr="00C54F05" w:rsidR="001648F1">
        <w:t>:</w:t>
      </w:r>
    </w:p>
    <w:p w:rsidRPr="00C54F05" w:rsidR="001648F1" w:rsidP="001648F1" w:rsidRDefault="001648F1">
      <w:pPr>
        <w:jc w:val="both"/>
      </w:pPr>
    </w:p>
    <w:p w:rsidR="00726B03" w:rsidP="00726B03" w:rsidRDefault="00726B03">
      <w:pPr>
        <w:pStyle w:val="Odlomakpopisa"/>
        <w:numPr>
          <w:ilvl w:val="0"/>
          <w:numId w:val="21"/>
        </w:numPr>
        <w:jc w:val="both"/>
      </w:pPr>
      <w:r>
        <w:t>Izjašnjavanje o prijedlogu stečajnog upravitelja za obustavu i zaključenje ovog stečajnog postupka zbog nedostatnosti mase za namirenje troškova stečajnog postupka.</w:t>
      </w:r>
    </w:p>
    <w:p w:rsidR="00273CAC" w:rsidP="00F96D5F" w:rsidRDefault="00273CAC">
      <w:pPr>
        <w:tabs>
          <w:tab w:val="left" w:pos="0"/>
          <w:tab w:val="left" w:pos="360"/>
        </w:tabs>
      </w:pPr>
    </w:p>
    <w:p w:rsidR="00273CAC" w:rsidP="00C22415" w:rsidRDefault="00726B03">
      <w:pPr>
        <w:tabs>
          <w:tab w:val="left" w:pos="0"/>
          <w:tab w:val="left" w:pos="360"/>
        </w:tabs>
        <w:jc w:val="both"/>
      </w:pPr>
      <w:r>
        <w:t>Stečajna</w:t>
      </w:r>
      <w:r w:rsidR="00C22415">
        <w:t xml:space="preserve"> upravitelj</w:t>
      </w:r>
      <w:r>
        <w:t>ica</w:t>
      </w:r>
      <w:r w:rsidR="00C22415">
        <w:t xml:space="preserve"> </w:t>
      </w:r>
      <w:r w:rsidR="00AC04BC">
        <w:t>navodi kao u prijedlogu i svom izvješću i prilozima od 18. rujna 2020.</w:t>
      </w:r>
    </w:p>
    <w:p w:rsidR="00AC04BC" w:rsidP="00C22415" w:rsidRDefault="00AC04BC">
      <w:pPr>
        <w:tabs>
          <w:tab w:val="left" w:pos="0"/>
          <w:tab w:val="left" w:pos="360"/>
        </w:tabs>
        <w:jc w:val="both"/>
      </w:pPr>
    </w:p>
    <w:p w:rsidR="00AC04BC" w:rsidP="00C22415" w:rsidRDefault="00AC04BC">
      <w:pPr>
        <w:tabs>
          <w:tab w:val="left" w:pos="0"/>
          <w:tab w:val="left" w:pos="360"/>
        </w:tabs>
        <w:jc w:val="both"/>
      </w:pPr>
      <w:r>
        <w:t>Stečajna upraviteljica navodi posebno da imovine za unovčenje nema, da je potrebno upisati stečajnu masu u Sudski registar, niz postupaka koje treba nastaviti jer ih je ona kao stečajna upraviteljica pokrenula, a koje je dostavila uz podnesak 15. lipnja 2020. (ls. 314).</w:t>
      </w:r>
    </w:p>
    <w:p w:rsidR="00AC04BC" w:rsidP="00C22415" w:rsidRDefault="00AC04BC">
      <w:pPr>
        <w:tabs>
          <w:tab w:val="left" w:pos="0"/>
          <w:tab w:val="left" w:pos="360"/>
        </w:tabs>
        <w:jc w:val="both"/>
      </w:pPr>
    </w:p>
    <w:p w:rsidR="00AC04BC" w:rsidP="00C22415" w:rsidRDefault="00AC04BC">
      <w:pPr>
        <w:tabs>
          <w:tab w:val="left" w:pos="0"/>
          <w:tab w:val="left" w:pos="360"/>
        </w:tabs>
        <w:jc w:val="both"/>
      </w:pPr>
      <w:r>
        <w:t>Na pitanje punomoćnice HPB-a temeljem kojeg ovlaštenja je izjavljen prigovor u ovršnom postupku koji je ovaj vjerovnik pokrenuo protiv stečajnog dužnika broj Ovr-429/2019 pred Općinskim sudom u Zadru iz čega je proizišla parnica koja se vodi pod brojem P-167/2020 pred ovim sudom, te da li postoje sredstva u smislu osiguranja troškova toga postupka.</w:t>
      </w:r>
    </w:p>
    <w:p w:rsidR="00AC04BC" w:rsidP="00C22415" w:rsidRDefault="00AC04BC">
      <w:pPr>
        <w:tabs>
          <w:tab w:val="left" w:pos="0"/>
          <w:tab w:val="left" w:pos="360"/>
        </w:tabs>
        <w:jc w:val="both"/>
      </w:pPr>
    </w:p>
    <w:p w:rsidR="00AC04BC" w:rsidP="00C22415" w:rsidRDefault="00AC04BC">
      <w:pPr>
        <w:tabs>
          <w:tab w:val="left" w:pos="0"/>
          <w:tab w:val="left" w:pos="360"/>
        </w:tabs>
        <w:jc w:val="both"/>
      </w:pPr>
      <w:r>
        <w:lastRenderedPageBreak/>
        <w:t>Stečajna upraviteljica navodi da je stečajnim zakonom određeno da je stečajni upravitelj dužan zatražiti suglasnost jedino u postupcima radi pokretanja postupka radi pobijanja dužnikovih pravnih radnji. U tom pravcu nakon što je dobila rješenje o ovrsi, zatražila je mišljenje i konzultirala se sa stečajnim sucem i smatrajući da se ne radi o parnici radi pobijanja dužnikovih pravnih radnji, da joj takva suglasnost nije potrebna.</w:t>
      </w:r>
      <w:r w:rsidR="00C77B2A">
        <w:t xml:space="preserve"> Nadalje, posebno jer je istodobno kad je došlo rješenje o ovrsi bila pokrenuta istraga protiv osobe ovlaštene za zastupanje stečajnog dužnika upravo iz razloga što postoji sumnja da je isprava na temelju koje je ovršenik LUNA TURIZAM stekao imovinu ovog stečajnog dužnika a na kojoj je HPB pokrenula ovršni postupak, fiktivni pravni posao. Upravo iz razloga što je pokrenuta istraga u odnosu na predmet na kojem se provodi ovrha je faktično dio istražnog postupka, OS u ZD je i odgodio ovrhu i uputio stečajnu upraviteljicu na pokretanje parnice, što je ona i učinila. Što se tiče troška ZPP ne traži da se moraju osigurati sredstva radi pokrića troškova postupka jer je ta odredba brisana.</w:t>
      </w:r>
    </w:p>
    <w:p w:rsidR="00C77B2A" w:rsidP="00C22415" w:rsidRDefault="00C77B2A">
      <w:pPr>
        <w:tabs>
          <w:tab w:val="left" w:pos="0"/>
          <w:tab w:val="left" w:pos="360"/>
        </w:tabs>
        <w:jc w:val="both"/>
      </w:pPr>
    </w:p>
    <w:p w:rsidR="00C77B2A" w:rsidP="00C22415" w:rsidRDefault="00C77B2A">
      <w:pPr>
        <w:tabs>
          <w:tab w:val="left" w:pos="0"/>
          <w:tab w:val="left" w:pos="360"/>
        </w:tabs>
        <w:jc w:val="both"/>
      </w:pPr>
      <w:r>
        <w:t>Punomoćnica HPA-a ne prihvaća ovakva obrazloženja obzirom da stečajna upraviteljica nije odgovorila što je sa osiguranjem troškova temeljem SZ-a jer će nastati troškovi stečajne mase, a u skladu s čl. 157. SZ-a.</w:t>
      </w:r>
    </w:p>
    <w:p w:rsidR="00C77B2A" w:rsidP="00C22415" w:rsidRDefault="00C77B2A">
      <w:pPr>
        <w:tabs>
          <w:tab w:val="left" w:pos="0"/>
          <w:tab w:val="left" w:pos="360"/>
        </w:tabs>
        <w:jc w:val="both"/>
      </w:pPr>
    </w:p>
    <w:p w:rsidR="00C77B2A" w:rsidP="00C22415" w:rsidRDefault="00C77B2A">
      <w:pPr>
        <w:tabs>
          <w:tab w:val="left" w:pos="0"/>
          <w:tab w:val="left" w:pos="360"/>
        </w:tabs>
        <w:jc w:val="both"/>
      </w:pPr>
      <w:r>
        <w:t>Stečajna upraviteljica navodi da je te troškove navela u predračunu troškova, te smatra da će se povratom imovine koja je predmet parnice ipak formirati stečajna masa i pokriti troškovi.</w:t>
      </w:r>
    </w:p>
    <w:p w:rsidR="00C77B2A" w:rsidP="00C22415" w:rsidRDefault="00C77B2A">
      <w:pPr>
        <w:tabs>
          <w:tab w:val="left" w:pos="0"/>
          <w:tab w:val="left" w:pos="360"/>
        </w:tabs>
        <w:jc w:val="both"/>
      </w:pPr>
    </w:p>
    <w:p w:rsidR="00C77B2A" w:rsidP="00C22415" w:rsidRDefault="00C77B2A">
      <w:pPr>
        <w:tabs>
          <w:tab w:val="left" w:pos="0"/>
          <w:tab w:val="left" w:pos="360"/>
        </w:tabs>
        <w:jc w:val="both"/>
      </w:pPr>
      <w:r>
        <w:t>Prijedlog stečajne upraviteljice za postupanjem temeljem čl. 293. SZ-a koji obzirom na postojeće sudske postupke za posljedicu ima i upis stečajne mase u sudski registar i imenovanje stečajnog upravitelja stečajne mase daje se na glasovanje.</w:t>
      </w:r>
    </w:p>
    <w:p w:rsidR="00C77B2A" w:rsidP="00C22415" w:rsidRDefault="00C77B2A">
      <w:pPr>
        <w:tabs>
          <w:tab w:val="left" w:pos="0"/>
          <w:tab w:val="left" w:pos="360"/>
        </w:tabs>
        <w:jc w:val="both"/>
      </w:pPr>
    </w:p>
    <w:p w:rsidR="00C77B2A" w:rsidP="00C22415" w:rsidRDefault="00C77B2A">
      <w:pPr>
        <w:tabs>
          <w:tab w:val="left" w:pos="0"/>
          <w:tab w:val="left" w:pos="360"/>
        </w:tabs>
        <w:jc w:val="both"/>
      </w:pPr>
      <w:r>
        <w:t>Nazočni vjerovnici jednoglasno prihvaćaju prijedlog za obustavu i zaključenje ovog postupka, upis stečajne mase u sudski registar i upis Ivanke Bosotine kao stečajne upraviteljice stečajne mase.</w:t>
      </w:r>
    </w:p>
    <w:p w:rsidR="00726B03" w:rsidP="00C22415" w:rsidRDefault="00726B03">
      <w:pPr>
        <w:tabs>
          <w:tab w:val="left" w:pos="0"/>
          <w:tab w:val="left" w:pos="360"/>
        </w:tabs>
        <w:jc w:val="both"/>
      </w:pPr>
    </w:p>
    <w:p w:rsidR="00C622C3" w:rsidP="00F96D5F" w:rsidRDefault="00C622C3">
      <w:pPr>
        <w:tabs>
          <w:tab w:val="left" w:pos="0"/>
          <w:tab w:val="left" w:pos="360"/>
        </w:tabs>
      </w:pPr>
    </w:p>
    <w:p w:rsidR="00C622C3" w:rsidP="00F96D5F" w:rsidRDefault="00C622C3">
      <w:pPr>
        <w:tabs>
          <w:tab w:val="left" w:pos="0"/>
          <w:tab w:val="left" w:pos="360"/>
        </w:tabs>
      </w:pPr>
      <w:r>
        <w:t>Sud utvrđuje da su na današnjoj skupštini vjerovnika donijete sljedeće odluke:</w:t>
      </w:r>
    </w:p>
    <w:p w:rsidR="00C622C3" w:rsidP="00F96D5F" w:rsidRDefault="00C622C3">
      <w:pPr>
        <w:tabs>
          <w:tab w:val="left" w:pos="0"/>
          <w:tab w:val="left" w:pos="360"/>
        </w:tabs>
      </w:pPr>
    </w:p>
    <w:p w:rsidR="00C622C3" w:rsidP="00C622C3" w:rsidRDefault="00C77B2A">
      <w:pPr>
        <w:pStyle w:val="Odlomakpopisa"/>
        <w:numPr>
          <w:ilvl w:val="0"/>
          <w:numId w:val="29"/>
        </w:numPr>
        <w:tabs>
          <w:tab w:val="left" w:pos="0"/>
          <w:tab w:val="left" w:pos="360"/>
        </w:tabs>
        <w:jc w:val="both"/>
      </w:pPr>
      <w:r>
        <w:t>Stečajni postupak će se obustaviti i zaključiti temeljem odredbe čl. 293. SZ-a</w:t>
      </w:r>
    </w:p>
    <w:p w:rsidR="00C77B2A" w:rsidP="00C622C3" w:rsidRDefault="00C77B2A">
      <w:pPr>
        <w:pStyle w:val="Odlomakpopisa"/>
        <w:numPr>
          <w:ilvl w:val="0"/>
          <w:numId w:val="29"/>
        </w:numPr>
        <w:tabs>
          <w:tab w:val="left" w:pos="0"/>
          <w:tab w:val="left" w:pos="360"/>
        </w:tabs>
        <w:jc w:val="both"/>
      </w:pPr>
      <w:r>
        <w:t>Stečajna masa će se upisati u sudksi registar.</w:t>
      </w:r>
    </w:p>
    <w:p w:rsidR="00C77B2A" w:rsidP="00C622C3" w:rsidRDefault="00C77B2A">
      <w:pPr>
        <w:pStyle w:val="Odlomakpopisa"/>
        <w:numPr>
          <w:ilvl w:val="0"/>
          <w:numId w:val="29"/>
        </w:numPr>
        <w:tabs>
          <w:tab w:val="left" w:pos="0"/>
          <w:tab w:val="left" w:pos="360"/>
        </w:tabs>
        <w:jc w:val="both"/>
      </w:pPr>
      <w:r>
        <w:t>Ivanka Bosotina imenuje se stečajnom upraviteljicom stečajne mase.</w:t>
      </w:r>
    </w:p>
    <w:p w:rsidR="00726B03" w:rsidP="00F96D5F" w:rsidRDefault="00726B03">
      <w:pPr>
        <w:tabs>
          <w:tab w:val="left" w:pos="0"/>
          <w:tab w:val="left" w:pos="360"/>
        </w:tabs>
      </w:pPr>
    </w:p>
    <w:p w:rsidRPr="001C322E" w:rsidR="00F96D5F" w:rsidP="00F96D5F" w:rsidRDefault="00F96D5F">
      <w:pPr>
        <w:tabs>
          <w:tab w:val="left" w:pos="0"/>
          <w:tab w:val="left" w:pos="360"/>
        </w:tabs>
      </w:pPr>
      <w:r w:rsidRPr="001C322E">
        <w:t xml:space="preserve">Dovršeno u </w:t>
      </w:r>
      <w:r w:rsidR="00FE5C80">
        <w:t>9</w:t>
      </w:r>
      <w:r w:rsidR="00651E9B">
        <w:t>,</w:t>
      </w:r>
      <w:r w:rsidR="00FE5C80">
        <w:t>36</w:t>
      </w:r>
      <w:r>
        <w:t xml:space="preserve"> </w:t>
      </w:r>
      <w:r w:rsidRPr="001C322E">
        <w:t xml:space="preserve"> sati.</w:t>
      </w:r>
    </w:p>
    <w:p w:rsidRPr="001C322E" w:rsidR="00F96D5F" w:rsidP="00F96D5F" w:rsidRDefault="00F96D5F">
      <w:pPr>
        <w:tabs>
          <w:tab w:val="left" w:pos="0"/>
          <w:tab w:val="left" w:pos="360"/>
        </w:tabs>
        <w:jc w:val="both"/>
      </w:pPr>
    </w:p>
    <w:p w:rsidRPr="001C322E" w:rsidR="00F96D5F" w:rsidP="00F96D5F" w:rsidRDefault="00F96D5F">
      <w:pPr>
        <w:tabs>
          <w:tab w:val="left" w:pos="0"/>
          <w:tab w:val="left" w:pos="360"/>
        </w:tabs>
        <w:jc w:val="both"/>
      </w:pPr>
      <w:r w:rsidRPr="001C322E">
        <w:t>ZAPISNIČAR</w:t>
      </w:r>
      <w:r w:rsidRPr="001C322E">
        <w:tab/>
      </w:r>
      <w:r w:rsidRPr="001C322E">
        <w:tab/>
        <w:t xml:space="preserve"> </w:t>
      </w:r>
      <w:r>
        <w:tab/>
      </w:r>
      <w:r w:rsidR="007B1162">
        <w:tab/>
      </w:r>
      <w:r w:rsidRPr="001C322E">
        <w:t>SUDAC</w:t>
      </w:r>
      <w:r w:rsidRPr="001C322E">
        <w:tab/>
        <w:t xml:space="preserve">          </w:t>
      </w:r>
      <w:r>
        <w:tab/>
      </w:r>
      <w:r>
        <w:tab/>
      </w:r>
      <w:r w:rsidRPr="001C322E">
        <w:t xml:space="preserve">STEČAJNI UPRAVITELJ </w:t>
      </w:r>
      <w:r w:rsidRPr="001C322E">
        <w:tab/>
      </w:r>
    </w:p>
    <w:p w:rsidRPr="001C322E" w:rsidR="00F96D5F" w:rsidP="00F96D5F" w:rsidRDefault="00F96D5F">
      <w:pPr>
        <w:tabs>
          <w:tab w:val="left" w:pos="0"/>
          <w:tab w:val="left" w:pos="360"/>
        </w:tabs>
        <w:jc w:val="both"/>
      </w:pPr>
    </w:p>
    <w:p w:rsidRPr="00C54F05" w:rsidR="001B5640" w:rsidP="00E008CF" w:rsidRDefault="00BD0C21">
      <w:pPr>
        <w:tabs>
          <w:tab w:val="left" w:pos="0"/>
          <w:tab w:val="left" w:pos="360"/>
        </w:tabs>
        <w:jc w:val="both"/>
      </w:pPr>
      <w:r>
        <w:t>VJEROVNICI</w:t>
      </w:r>
    </w:p>
    <w:sectPr w:rsidRPr="00C54F05" w:rsidR="001B5640" w:rsidSect="00F7120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3314C" w:rsidR="004823B4" w:rsidP="00805CD1" w:rsidRDefault="004823B4">
    <w:pPr>
      <w:pStyle w:val="Zaglavlje"/>
      <w:jc w:val="center"/>
    </w:pPr>
    <w:r>
      <w:t xml:space="preserve">                                                                        </w:t>
    </w:r>
    <w:r w:rsidRPr="00F3314C">
      <w:fldChar w:fldCharType="begin"/>
    </w:r>
    <w:r w:rsidRPr="00F3314C">
      <w:instrText>PAGE   \* MERGEFORMAT</w:instrText>
    </w:r>
    <w:r w:rsidRPr="00F3314C">
      <w:fldChar w:fldCharType="separate"/>
    </w:r>
    <w:r w:rsidR="00DD7EFE">
      <w:rPr>
        <w:noProof/>
      </w:rPr>
      <w:t>2</w:t>
    </w:r>
    <w:r w:rsidRPr="00F3314C">
      <w:fldChar w:fldCharType="end"/>
    </w:r>
    <w:r w:rsidRPr="00F3314C">
      <w:t xml:space="preserve">                                                  1</w:t>
    </w:r>
    <w:r>
      <w:t xml:space="preserve"> </w:t>
    </w:r>
    <w:r w:rsidRPr="00F3314C">
      <w:t>S</w:t>
    </w:r>
    <w:r>
      <w:t>t</w:t>
    </w:r>
    <w:r w:rsidRPr="00F3314C">
      <w:t>-</w:t>
    </w:r>
    <w:r w:rsidR="00726B03">
      <w:t>11</w:t>
    </w:r>
    <w:r w:rsidRPr="00F30D73" w:rsidR="002316EC">
      <w:t>/</w:t>
    </w:r>
    <w:r w:rsidR="00A65177">
      <w:t>1</w:t>
    </w:r>
    <w:r w:rsidR="00726B03">
      <w:t>9</w:t>
    </w:r>
    <w:r w:rsidR="00A65177">
      <w:t>-</w:t>
    </w:r>
    <w:r w:rsidR="00726B03">
      <w:t>78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936473E"/>
    <w:multiLevelType w:val="hybridMultilevel"/>
    <w:tmpl w:val="CED080D4"/>
    <w:lvl w:ilvl="0" w:tplc="FF0297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1D617D5"/>
    <w:multiLevelType w:val="hybridMultilevel"/>
    <w:tmpl w:val="D2F45804"/>
    <w:lvl w:ilvl="0" w:tplc="DEA8894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32EF2936"/>
    <w:multiLevelType w:val="hybridMultilevel"/>
    <w:tmpl w:val="AF74741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871099A"/>
    <w:multiLevelType w:val="hybridMultilevel"/>
    <w:tmpl w:val="601A2A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9">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2">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3"/>
  </w:num>
  <w:num w:numId="2">
    <w:abstractNumId w:val="21"/>
  </w:num>
  <w:num w:numId="3">
    <w:abstractNumId w:val="17"/>
  </w:num>
  <w:num w:numId="4">
    <w:abstractNumId w:val="25"/>
  </w:num>
  <w:num w:numId="5">
    <w:abstractNumId w:val="4"/>
  </w:num>
  <w:num w:numId="6">
    <w:abstractNumId w:val="18"/>
  </w:num>
  <w:num w:numId="7">
    <w:abstractNumId w:val="5"/>
  </w:num>
  <w:num w:numId="8">
    <w:abstractNumId w:val="3"/>
  </w:num>
  <w:num w:numId="9">
    <w:abstractNumId w:val="6"/>
  </w:num>
  <w:num w:numId="10">
    <w:abstractNumId w:val="24"/>
  </w:num>
  <w:num w:numId="11">
    <w:abstractNumId w:val="1"/>
  </w:num>
  <w:num w:numId="12">
    <w:abstractNumId w:val="16"/>
  </w:num>
  <w:num w:numId="13">
    <w:abstractNumId w:val="27"/>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8"/>
  </w:num>
  <w:num w:numId="18">
    <w:abstractNumId w:val="0"/>
  </w:num>
  <w:num w:numId="19">
    <w:abstractNumId w:val="12"/>
  </w:num>
  <w:num w:numId="20">
    <w:abstractNumId w:val="19"/>
  </w:num>
  <w:num w:numId="21">
    <w:abstractNumId w:val="26"/>
  </w:num>
  <w:num w:numId="22">
    <w:abstractNumId w:val="15"/>
  </w:num>
  <w:num w:numId="23">
    <w:abstractNumId w:val="14"/>
  </w:num>
  <w:num w:numId="24">
    <w:abstractNumId w:val="22"/>
  </w:num>
  <w:num w:numId="25">
    <w:abstractNumId w:val="9"/>
  </w:num>
  <w:num w:numId="26">
    <w:abstractNumId w:val="7"/>
  </w:num>
  <w:num w:numId="27">
    <w:abstractNumId w:val="10"/>
  </w:num>
  <w:num w:numId="28">
    <w:abstractNumId w:val="11"/>
  </w:num>
  <w:num w:numId="29">
    <w:abstractNumId w:val="1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7213B"/>
    <w:rsid w:val="000727EA"/>
    <w:rsid w:val="0007348F"/>
    <w:rsid w:val="00081A58"/>
    <w:rsid w:val="0008308B"/>
    <w:rsid w:val="000958D3"/>
    <w:rsid w:val="000A752E"/>
    <w:rsid w:val="000C6530"/>
    <w:rsid w:val="000D2695"/>
    <w:rsid w:val="000F0D50"/>
    <w:rsid w:val="000F2F59"/>
    <w:rsid w:val="001058A1"/>
    <w:rsid w:val="00111F9E"/>
    <w:rsid w:val="00116AE8"/>
    <w:rsid w:val="001236AC"/>
    <w:rsid w:val="00135E29"/>
    <w:rsid w:val="001648F1"/>
    <w:rsid w:val="0017355B"/>
    <w:rsid w:val="0019057A"/>
    <w:rsid w:val="001932E2"/>
    <w:rsid w:val="001B0D22"/>
    <w:rsid w:val="001B2564"/>
    <w:rsid w:val="001B5640"/>
    <w:rsid w:val="001C2763"/>
    <w:rsid w:val="001D0E9B"/>
    <w:rsid w:val="001D36DA"/>
    <w:rsid w:val="001E71A6"/>
    <w:rsid w:val="00220CA9"/>
    <w:rsid w:val="00224227"/>
    <w:rsid w:val="002316EC"/>
    <w:rsid w:val="00251190"/>
    <w:rsid w:val="002632FB"/>
    <w:rsid w:val="00273CAC"/>
    <w:rsid w:val="00293FE2"/>
    <w:rsid w:val="002B2A2A"/>
    <w:rsid w:val="002F2B7F"/>
    <w:rsid w:val="00314050"/>
    <w:rsid w:val="00325049"/>
    <w:rsid w:val="00350A4A"/>
    <w:rsid w:val="003853F9"/>
    <w:rsid w:val="003B3D8E"/>
    <w:rsid w:val="003E22D0"/>
    <w:rsid w:val="003F2267"/>
    <w:rsid w:val="003F6C10"/>
    <w:rsid w:val="0040393E"/>
    <w:rsid w:val="004041A5"/>
    <w:rsid w:val="0041624E"/>
    <w:rsid w:val="00431A46"/>
    <w:rsid w:val="00445665"/>
    <w:rsid w:val="00455E64"/>
    <w:rsid w:val="00472230"/>
    <w:rsid w:val="004823B4"/>
    <w:rsid w:val="004874E1"/>
    <w:rsid w:val="00487C7F"/>
    <w:rsid w:val="00490323"/>
    <w:rsid w:val="00493236"/>
    <w:rsid w:val="004A0F8E"/>
    <w:rsid w:val="004A5B0A"/>
    <w:rsid w:val="004D5067"/>
    <w:rsid w:val="004D53A3"/>
    <w:rsid w:val="0051772F"/>
    <w:rsid w:val="00524D93"/>
    <w:rsid w:val="005377A0"/>
    <w:rsid w:val="00540349"/>
    <w:rsid w:val="005677A9"/>
    <w:rsid w:val="005954D0"/>
    <w:rsid w:val="005973E3"/>
    <w:rsid w:val="005B6150"/>
    <w:rsid w:val="005D268C"/>
    <w:rsid w:val="005E1943"/>
    <w:rsid w:val="005E4D3B"/>
    <w:rsid w:val="005F0790"/>
    <w:rsid w:val="005F1A1A"/>
    <w:rsid w:val="00601ACD"/>
    <w:rsid w:val="00603FF6"/>
    <w:rsid w:val="00636F12"/>
    <w:rsid w:val="00651E9B"/>
    <w:rsid w:val="006539F1"/>
    <w:rsid w:val="0065448E"/>
    <w:rsid w:val="00662BBC"/>
    <w:rsid w:val="0068761E"/>
    <w:rsid w:val="0069087B"/>
    <w:rsid w:val="006A09A4"/>
    <w:rsid w:val="006A46AA"/>
    <w:rsid w:val="006B0187"/>
    <w:rsid w:val="006E39E9"/>
    <w:rsid w:val="007058C7"/>
    <w:rsid w:val="00722A49"/>
    <w:rsid w:val="0072675B"/>
    <w:rsid w:val="00726B03"/>
    <w:rsid w:val="007400B6"/>
    <w:rsid w:val="0074069B"/>
    <w:rsid w:val="00764338"/>
    <w:rsid w:val="00793082"/>
    <w:rsid w:val="007A72BF"/>
    <w:rsid w:val="007B1162"/>
    <w:rsid w:val="007B6F33"/>
    <w:rsid w:val="007D53DE"/>
    <w:rsid w:val="007D7102"/>
    <w:rsid w:val="00805CD1"/>
    <w:rsid w:val="008439AB"/>
    <w:rsid w:val="00891D49"/>
    <w:rsid w:val="00893E95"/>
    <w:rsid w:val="008B1FEF"/>
    <w:rsid w:val="008D744A"/>
    <w:rsid w:val="008E380D"/>
    <w:rsid w:val="008E6570"/>
    <w:rsid w:val="009079B1"/>
    <w:rsid w:val="0091354A"/>
    <w:rsid w:val="00924AF5"/>
    <w:rsid w:val="009306F8"/>
    <w:rsid w:val="00932BA8"/>
    <w:rsid w:val="009447BE"/>
    <w:rsid w:val="00953054"/>
    <w:rsid w:val="00954B32"/>
    <w:rsid w:val="00965003"/>
    <w:rsid w:val="009722E1"/>
    <w:rsid w:val="009A0A34"/>
    <w:rsid w:val="009B3DF2"/>
    <w:rsid w:val="009E003C"/>
    <w:rsid w:val="009E46B4"/>
    <w:rsid w:val="00A1606F"/>
    <w:rsid w:val="00A36272"/>
    <w:rsid w:val="00A51E53"/>
    <w:rsid w:val="00A5237A"/>
    <w:rsid w:val="00A63B5E"/>
    <w:rsid w:val="00A65177"/>
    <w:rsid w:val="00A82096"/>
    <w:rsid w:val="00A85AD9"/>
    <w:rsid w:val="00A97876"/>
    <w:rsid w:val="00AB13C0"/>
    <w:rsid w:val="00AB454C"/>
    <w:rsid w:val="00AC04BC"/>
    <w:rsid w:val="00AD41F1"/>
    <w:rsid w:val="00AE6A7C"/>
    <w:rsid w:val="00AE7208"/>
    <w:rsid w:val="00AF6CB0"/>
    <w:rsid w:val="00B061C4"/>
    <w:rsid w:val="00B23026"/>
    <w:rsid w:val="00B234EA"/>
    <w:rsid w:val="00B24E75"/>
    <w:rsid w:val="00B30EDC"/>
    <w:rsid w:val="00B31817"/>
    <w:rsid w:val="00B33BD3"/>
    <w:rsid w:val="00B3762A"/>
    <w:rsid w:val="00B50BB6"/>
    <w:rsid w:val="00B65547"/>
    <w:rsid w:val="00B7398C"/>
    <w:rsid w:val="00B77F2A"/>
    <w:rsid w:val="00B85E9B"/>
    <w:rsid w:val="00BA5EFA"/>
    <w:rsid w:val="00BB376D"/>
    <w:rsid w:val="00BD0B31"/>
    <w:rsid w:val="00BD0C21"/>
    <w:rsid w:val="00BE176D"/>
    <w:rsid w:val="00C116D5"/>
    <w:rsid w:val="00C22415"/>
    <w:rsid w:val="00C25978"/>
    <w:rsid w:val="00C54F05"/>
    <w:rsid w:val="00C622C3"/>
    <w:rsid w:val="00C75ADA"/>
    <w:rsid w:val="00C77B2A"/>
    <w:rsid w:val="00C81A61"/>
    <w:rsid w:val="00C86877"/>
    <w:rsid w:val="00CA4F46"/>
    <w:rsid w:val="00CB7609"/>
    <w:rsid w:val="00CC1E52"/>
    <w:rsid w:val="00CE4B1D"/>
    <w:rsid w:val="00CF6CD2"/>
    <w:rsid w:val="00D23BC5"/>
    <w:rsid w:val="00D4210E"/>
    <w:rsid w:val="00D42D80"/>
    <w:rsid w:val="00D43251"/>
    <w:rsid w:val="00D64038"/>
    <w:rsid w:val="00D722BB"/>
    <w:rsid w:val="00D7743B"/>
    <w:rsid w:val="00DB7D00"/>
    <w:rsid w:val="00DC6E0D"/>
    <w:rsid w:val="00DD0245"/>
    <w:rsid w:val="00DD4763"/>
    <w:rsid w:val="00DD7EFE"/>
    <w:rsid w:val="00DE5E55"/>
    <w:rsid w:val="00DF1422"/>
    <w:rsid w:val="00DF300C"/>
    <w:rsid w:val="00E008CF"/>
    <w:rsid w:val="00E0563D"/>
    <w:rsid w:val="00E20DC1"/>
    <w:rsid w:val="00E3035E"/>
    <w:rsid w:val="00E4499D"/>
    <w:rsid w:val="00E93CBD"/>
    <w:rsid w:val="00E9558D"/>
    <w:rsid w:val="00EC4814"/>
    <w:rsid w:val="00EC55C1"/>
    <w:rsid w:val="00EC65AF"/>
    <w:rsid w:val="00EE5C42"/>
    <w:rsid w:val="00EF39C5"/>
    <w:rsid w:val="00F10468"/>
    <w:rsid w:val="00F24D9D"/>
    <w:rsid w:val="00F24E03"/>
    <w:rsid w:val="00F2515C"/>
    <w:rsid w:val="00F30096"/>
    <w:rsid w:val="00F30D73"/>
    <w:rsid w:val="00F3314C"/>
    <w:rsid w:val="00F33875"/>
    <w:rsid w:val="00F360A5"/>
    <w:rsid w:val="00F44973"/>
    <w:rsid w:val="00F47C69"/>
    <w:rsid w:val="00F71208"/>
    <w:rsid w:val="00F95261"/>
    <w:rsid w:val="00F96D5F"/>
    <w:rsid w:val="00FA1F3A"/>
    <w:rsid w:val="00FA777A"/>
    <w:rsid w:val="00FB4A49"/>
    <w:rsid w:val="00FC495D"/>
    <w:rsid w:val="00FD2340"/>
    <w:rsid w:val="00FD6170"/>
    <w:rsid w:val="00FE45D4"/>
    <w:rsid w:val="00FE5C80"/>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DD7EFE"/>
    <w:rPr>
      <w:color w:val="808080"/>
      <w:bdr w:val="none" w:color="auto" w:sz="0" w:space="0"/>
      <w:shd w:val="clear" w:color="auto" w:fill="auto"/>
    </w:rPr>
  </w:style>
  <w:style w:type="character" w:styleId="eSPISCCParagraphDefaultFont" w:customStyle="true">
    <w:name w:val="eSPIS_CC_Paragraph Default Font"/>
    <w:basedOn w:val="Zadanifontodlomka"/>
    <w:rsid w:val="00DD7EF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D7EFE"/>
    <w:rPr>
      <w:bdr w:val="none" w:color="auto" w:sz="0" w:space="0"/>
      <w:shd w:val="clear" w:color="auto" w:fill="FFFFCC"/>
      <w:lang w:val="hr-HR"/>
    </w:rPr>
  </w:style>
  <w:style w:type="character" w:styleId="PozadinaSvijetloCrvena" w:customStyle="true">
    <w:name w:val="Pozadina_SvijetloCrvena"/>
    <w:basedOn w:val="eSPISCCParagraphDefaultFont"/>
    <w:rsid w:val="00DD7EF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D7EFE"/>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DD7EFE"/>
    <w:rPr>
      <w:color w:val="808080"/>
      <w:bdr w:color="auto" w:space="0" w:sz="0" w:val="none"/>
      <w:shd w:color="auto" w:fill="auto" w:val="clear"/>
    </w:rPr>
  </w:style>
  <w:style w:customStyle="1" w:styleId="eSPISCCParagraphDefaultFont" w:type="character">
    <w:name w:val="eSPIS_CC_Paragraph Default Font"/>
    <w:basedOn w:val="Zadanifontodlomka"/>
    <w:rsid w:val="00DD7E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7EFE"/>
    <w:rPr>
      <w:bdr w:color="auto" w:space="0" w:sz="0" w:val="none"/>
      <w:shd w:color="auto" w:fill="FFFFCC" w:val="clear"/>
      <w:lang w:val="hr-HR"/>
    </w:rPr>
  </w:style>
  <w:style w:customStyle="1" w:styleId="PozadinaSvijetloCrvena" w:type="character">
    <w:name w:val="Pozadina_SvijetloCrvena"/>
    <w:basedOn w:val="eSPISCCParagraphDefaultFont"/>
    <w:rsid w:val="00DD7E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7EFE"/>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75983460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23. rujna 2020.</izvorni_sadrzaj>
    <derivirana_varijabla naziv="DomainObject.StvarniPocetakDatum_1">23. rujna 2020.</derivirana_varijabla>
  </DomainObject.StvarniPocetakDatum>
  <DomainObject.StvarniZavrsetakDatum>
    <izvorni_sadrzaj>23. rujna 2020.</izvorni_sadrzaj>
    <derivirana_varijabla naziv="DomainObject.StvarniZavrsetakDatum_1">23. rujna 2020.</derivirana_varijabla>
  </DomainObject.StvarniZavrsetakDatum>
  <DomainObject.PlaniraniZavrsetakDatum>
    <izvorni_sadrzaj>23. rujna 2020.</izvorni_sadrzaj>
    <derivirana_varijabla naziv="DomainObject.PlaniraniZavrsetakDatum_1">23. rujna 2020.</derivirana_varijabla>
  </DomainObject.PlaniraniZavrsetakDatum>
  <DomainObject.PlaniraniPocetakDatum>
    <izvorni_sadrzaj>23. rujna 2020.</izvorni_sadrzaj>
    <derivirana_varijabla naziv="DomainObject.PlaniraniPocetakDatum_1">23. rujna 2020.</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10:18</izvorni_sadrzaj>
    <derivirana_varijabla naziv="DomainObject.StvarniZavrsetakVrijeme_1">10:18</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rujna 2020.</izvorni_sadrzaj>
    <derivirana_varijabla naziv="DomainObject.Zapisnik.DatumKreiranja_1">23. rujna 2020.</derivirana_varijabla>
  </DomainObject.Zapisnik.DatumKreiranja>
  <DomainObject.Zapisnik.ImovinskaKorist>
    <izvorni_sadrzaj/>
    <derivirana_varijabla naziv="DomainObject.Zapisnik.ImovinskaKorist_1"/>
  </DomainObject.Zapisnik.ImovinskaKorist>
  <DomainObject.Zapisnik.Oznaka>
    <izvorni_sadrzaj>St-11/2019-75</izvorni_sadrzaj>
    <derivirana_varijabla naziv="DomainObject.Zapisnik.Oznaka_1">St-11/2019-75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2019.</izvorni_sadrzaj>
    <derivirana_varijabla naziv="DomainObject.Predmet.DatumOsnivanja_1">7.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St-11/2019</izvorni_sadrzaj>
    <derivirana_varijabla naziv="DomainObject.Predmet.OznakaBroj_1">St-11/2019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LUNA HOTEL društvo s ograničenom odgovornošću za usluge</izvorni_sadrzaj>
    <derivirana_varijabla naziv="DomainObject.Predmet.ProtustrankaFormated_1">  LUNA HOTEL društvo s ograničenom odgovornošću za usluge</derivirana_varijabla>
  </DomainObject.Predmet.ProtustrankaFormated>
  <DomainObject.Predmet.ProtustrankaFormatedOIB>
    <izvorni_sadrzaj>  LUNA HOTEL društvo s ograničenom odgovornošću za usluge, OIB 31558008249</izvorni_sadrzaj>
    <derivirana_varijabla naziv="DomainObject.Predmet.ProtustrankaFormatedOIB_1">  LUNA HOTEL društvo s ograničenom odgovornošću za usluge, OIB 31558008249</derivirana_varijabla>
  </DomainObject.Predmet.ProtustrankaFormatedOIB>
  <DomainObject.Predmet.ProtustrankaFormatedWithAdress>
    <izvorni_sadrzaj> LUNA HOTEL društvo s ograničenom odgovornošću za usluge, Hrvatske vlade 1, 23422 Stankovci</izvorni_sadrzaj>
    <derivirana_varijabla naziv="DomainObject.Predmet.ProtustrankaFormatedWithAdress_1"> LUNA HOTEL društvo s ograničenom odgovornošću za usluge, Hrvatske vlade 1, 23422 Stankovci</derivirana_varijabla>
  </DomainObject.Predmet.ProtustrankaFormatedWithAdress>
  <DomainObject.Predmet.ProtustrankaFormatedWithAdressOIB>
    <izvorni_sadrzaj> LUNA HOTEL društvo s ograničenom odgovornošću za usluge, OIB 31558008249, Hrvatske vlade 1, 23422 Stankovci</izvorni_sadrzaj>
    <derivirana_varijabla naziv="DomainObject.Predmet.ProtustrankaFormatedWithAdressOIB_1"> LUNA HOTEL društvo s ograničenom odgovornošću za usluge, OIB 31558008249, Hrvatske vlade 1, 23422 Stankovci</derivirana_varijabla>
  </DomainObject.Predmet.ProtustrankaFormatedWithAdressOIB>
  <DomainObject.Predmet.ProtustrankaWithAdress>
    <izvorni_sadrzaj>LUNA HOTEL društvo s ograničenom odgovornošću za usluge Hrvatske vlade 1, 23422 Stankovci</izvorni_sadrzaj>
    <derivirana_varijabla naziv="DomainObject.Predmet.ProtustrankaWithAdress_1">LUNA HOTEL društvo s ograničenom odgovornošću za usluge Hrvatske vlade 1, 23422 Stankovci</derivirana_varijabla>
  </DomainObject.Predmet.ProtustrankaWithAdress>
  <DomainObject.Predmet.ProtustrankaWithAdressOIB>
    <izvorni_sadrzaj>LUNA HOTEL društvo s ograničenom odgovornošću za usluge, OIB 31558008249, Hrvatske vlade 1, 23422 Stankovci</izvorni_sadrzaj>
    <derivirana_varijabla naziv="DomainObject.Predmet.ProtustrankaWithAdressOIB_1">LUNA HOTEL društvo s ograničenom odgovornošću za usluge, OIB 31558008249, Hrvatske vlade 1, 23422 Stankovci</derivirana_varijabla>
  </DomainObject.Predmet.ProtustrankaWithAdressOIB>
  <DomainObject.Predmet.ProtustrankaNazivFormated>
    <izvorni_sadrzaj>LUNA HOTEL društvo s ograničenom odgovornošću za usluge</izvorni_sadrzaj>
    <derivirana_varijabla naziv="DomainObject.Predmet.ProtustrankaNazivFormated_1">LUNA HOTEL društvo s ograničenom odgovornošću za usluge</derivirana_varijabla>
  </DomainObject.Predmet.ProtustrankaNazivFormated>
  <DomainObject.Predmet.ProtustrankaNazivFormatedOIB>
    <izvorni_sadrzaj>LUNA HOTEL društvo s ograničenom odgovornošću za usluge, OIB 31558008249</izvorni_sadrzaj>
    <derivirana_varijabla naziv="DomainObject.Predmet.ProtustrankaNazivFormatedOIB_1">LUNA HOTEL društvo s ograničenom odgovornošću za usluge, OIB 31558008249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 Neven Badurina; KADUS d.o.o. za privremeno zapošljavanje i posredovanje u zapošljavanju</izvorni_sadrzaj>
    <derivirana_varijabla naziv="DomainObject.Predmet.StrankaFormated_1">  Financijska agencija Podružnica Zadar; Neven Badurina; KADUS d.o.o. za privremeno zapošljavanje i posredovanje u zapošljavanju</derivirana_varijabla>
  </DomainObject.Predmet.StrankaFormated>
  <DomainObject.Predmet.StrankaFormatedOIB>
    <izvorni_sadrzaj>  Financijska agencija Podružnica Zadar, OIB 85821130368; Neven Badurina, OIB 18315732236; KADUS d.o.o. za privremeno zapošljavanje i posredovanje u zapošljavanju, OIB 24260602705</izvorni_sadrzaj>
    <derivirana_varijabla naziv="DomainObject.Predmet.StrankaFormatedOIB_1">  Financijska agencija Podružnica Zadar, OIB 85821130368; Neven Badurina, OIB 18315732236; KADUS d.o.o. za privremeno zapošljavanje i posredovanje u zapošljavanju, OIB 24260602705</derivirana_varijabla>
  </DomainObject.Predmet.StrankaFormatedOIB>
  <DomainObject.Predmet.StrankaFormatedWithAdress>
    <izvorni_sadrzaj> Financijska agencija Podružnica Zadar; Neven Badurina, Jakišnica 289c, 53294 Lun; KADUS d.o.o. za privremeno zapošljavanje i posredovanje u zapošljavanju, Kneza Branimira 24, 10000 Zagreb</izvorni_sadrzaj>
    <derivirana_varijabla naziv="DomainObject.Predmet.StrankaFormatedWithAdress_1"> Financijska agencija Podružnica Zadar; Neven Badurina, Jakišnica 289c, 53294 Lun; KADUS d.o.o. za privremeno zapošljavanje i posredovanje u zapošljavanju, Kneza Branimira 24, 10000 Zagreb</derivirana_varijabla>
  </DomainObject.Predmet.StrankaFormatedWithAdress>
  <DomainObject.Predmet.StrankaFormatedWithAdressOIB>
    <izvorni_sadrzaj> Financijska agencija Podružnica Zadar, OIB 85821130368; Neven Badurina, OIB 18315732236, Jakišnica 289c, 53294 Lun; KADUS d.o.o. za privremeno zapošljavanje i posredovanje u zapošljavanju, OIB 24260602705, Kneza Branimira 24, 10000 Zagreb</izvorni_sadrzaj>
    <derivirana_varijabla naziv="DomainObject.Predmet.StrankaFormatedWithAdressOIB_1"> Financijska agencija Podružnica Zadar, OIB 85821130368; Neven Badurina, OIB 18315732236, Jakišnica 289c, 53294 Lun; KADUS d.o.o. za privremeno zapošljavanje i posredovanje u zapošljavanju, OIB 24260602705, Kneza Branimira 24, 10000 Zagreb</derivirana_varijabla>
  </DomainObject.Predmet.StrankaFormatedWithAdressOIB>
  <DomainObject.Predmet.StrankaWithAdress>
    <izvorni_sadrzaj>Financijska agencija Podružnica Zadar ,Neven Badurina Jakišnica 289c,53294 Lun,KADUS d.o.o. za privremeno zapošljavanje i posredovanje u zapošljavanju Kneza Branimira 24,10000 Zagreb</izvorni_sadrzaj>
    <derivirana_varijabla naziv="DomainObject.Predmet.StrankaWithAdress_1">Financijska agencija Podružnica Zadar ,Neven Badurina Jakišnica 289c,53294 Lun,KADUS d.o.o. za privremeno zapošljavanje i posredovanje u zapošljavanju Kneza Branimira 24,10000 Zagreb</derivirana_varijabla>
  </DomainObject.Predmet.StrankaWithAdress>
  <DomainObject.Predmet.StrankaWithAdressOIB>
    <izvorni_sadrzaj>Financijska agencija Podružnica Zadar, OIB 85821130368,Neven Badurina, OIB 18315732236, Jakišnica 289c,53294 Lun,KADUS d.o.o. za privremeno zapošljavanje i posredovanje u zapošljavanju, OIB 24260602705, Kneza Branimira 24,10000 Zagreb</izvorni_sadrzaj>
    <derivirana_varijabla naziv="DomainObject.Predmet.StrankaWithAdressOIB_1">Financijska agencija Podružnica Zadar, OIB 85821130368,Neven Badurina, OIB 18315732236, Jakišnica 289c,53294 Lun,KADUS d.o.o. za privremeno zapošljavanje i posredovanje u zapošljavanju, OIB 24260602705, Kneza Branimira 24,10000 Zagreb</derivirana_varijabla>
  </DomainObject.Predmet.StrankaWithAdressOIB>
  <DomainObject.Predmet.StrankaNazivFormated>
    <izvorni_sadrzaj>Financijska agencija Podružnica Zadar,Neven Badurina,KADUS d.o.o. za privremeno zapošljavanje i posredovanje u zapošljavanju</izvorni_sadrzaj>
    <derivirana_varijabla naziv="DomainObject.Predmet.StrankaNazivFormated_1">Financijska agencija Podružnica Zadar,Neven Badurina,KADUS d.o.o. za privremeno zapošljavanje i posredovanje u zapošljavanju</derivirana_varijabla>
  </DomainObject.Predmet.StrankaNazivFormated>
  <DomainObject.Predmet.StrankaNazivFormatedOIB>
    <izvorni_sadrzaj>Financijska agencija Podružnica Zadar, OIB 85821130368,Neven Badurina, OIB 18315732236,KADUS d.o.o. za privremeno zapošljavanje i posredovanje u zapošljavanju, OIB 24260602705</izvorni_sadrzaj>
    <derivirana_varijabla naziv="DomainObject.Predmet.StrankaNazivFormatedOIB_1">Financijska agencija Podružnica Zadar, OIB 85821130368,Neven Badurina, OIB 18315732236,KADUS d.o.o. za privremeno zapošljavanje i posredovanje u zapošljavanju, OIB 24260602705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Podružnica Zadar</item>
      <item>Neven Badurina</item>
      <item>KADUS d.o.o. za privremeno zapošljavanje i posredovanje u zapošljavanju</item>
    </izvorni_sadrzaj>
    <derivirana_varijabla naziv="DomainObject.Predmet.StrankaListFormated_1">
      <item>Financijska agencija Podružnica Zadar</item>
      <item>Neven Badurina</item>
      <item>KADUS d.o.o. za privremeno zapošljavanje i posredovanje u zapošljavanju</item>
    </derivirana_varijabla>
  </DomainObject.Predmet.StrankaListFormated>
  <DomainObject.Predmet.StrankaListFormatedOIB>
    <izvorni_sadrzaj>
      <item>Financijska agencija Podružnica Zadar, OIB 85821130368</item>
      <item>Neven Badurina, OIB 18315732236</item>
      <item>KADUS d.o.o. za privremeno zapošljavanje i posredovanje u zapošljavanju, OIB 24260602705</item>
    </izvorni_sadrzaj>
    <derivirana_varijabla naziv="DomainObject.Predmet.StrankaListFormatedOIB_1">
      <item>Financijska agencija Podružnica Zadar, OIB 85821130368</item>
      <item>Neven Badurina, OIB 18315732236</item>
      <item>KADUS d.o.o. za privremeno zapošljavanje i posredovanje u zapošljavanju, OIB 24260602705</item>
    </derivirana_varijabla>
  </DomainObject.Predmet.StrankaListFormatedOIB>
  <DomainObject.Predmet.StrankaListFormatedWithAdress>
    <izvorni_sadrzaj>
      <item>Financijska agencija Podružnica Zadar</item>
      <item>Neven Badurina, Jakišnica 289c, 53294 Lun</item>
      <item>KADUS d.o.o. za privremeno zapošljavanje i posredovanje u zapošljavanju, Kneza Branimira 24, 10000 Zagreb</item>
    </izvorni_sadrzaj>
    <derivirana_varijabla naziv="DomainObject.Predmet.StrankaListFormatedWithAdress_1">
      <item>Financijska agencija Podružnica Zadar</item>
      <item>Neven Badurina, Jakišnica 289c, 53294 Lun</item>
      <item>KADUS d.o.o. za privremeno zapošljavanje i posredovanje u zapošljavanju, Kneza Branimira 24, 10000 Zagreb</item>
    </derivirana_varijabla>
  </DomainObject.Predmet.StrankaListFormatedWithAdress>
  <DomainObject.Predmet.StrankaListFormatedWithAdressOIB>
    <izvorni_sadrzaj>
      <item>Financijska agencija Podružnica Zadar, OIB 85821130368</item>
      <item>Neven Badurina, OIB 18315732236, Jakišnica 289c, 53294 Lun</item>
      <item>KADUS d.o.o. za privremeno zapošljavanje i posredovanje u zapošljavanju, OIB 24260602705, Kneza Branimira 24, 10000 Zagreb</item>
    </izvorni_sadrzaj>
    <derivirana_varijabla naziv="DomainObject.Predmet.StrankaListFormatedWithAdressOIB_1">
      <item>Financijska agencija Podružnica Zadar, OIB 85821130368</item>
      <item>Neven Badurina, OIB 18315732236, Jakišnica 289c, 53294 Lun</item>
      <item>KADUS d.o.o. za privremeno zapošljavanje i posredovanje u zapošljavanju, OIB 24260602705, Kneza Branimira 24, 10000 Zagreb</item>
    </derivirana_varijabla>
  </DomainObject.Predmet.StrankaListFormatedWithAdressOIB>
  <DomainObject.Predmet.StrankaListNazivFormated>
    <izvorni_sadrzaj>
      <item>Financijska agencija Podružnica Zadar</item>
      <item>Neven Badurina</item>
      <item>KADUS d.o.o. za privremeno zapošljavanje i posredovanje u zapošljavanju</item>
    </izvorni_sadrzaj>
    <derivirana_varijabla naziv="DomainObject.Predmet.StrankaListNazivFormated_1">
      <item>Financijska agencija Podružnica Zadar</item>
      <item>Neven Badurina</item>
      <item>KADUS d.o.o. za privremeno zapošljavanje i posredovanje u zapošljavanju</item>
    </derivirana_varijabla>
  </DomainObject.Predmet.StrankaListNazivFormated>
  <DomainObject.Predmet.StrankaListNazivFormatedOIB>
    <izvorni_sadrzaj>
      <item>Financijska agencija Podružnica Zadar, OIB 85821130368</item>
      <item>Neven Badurina, OIB 18315732236</item>
      <item>KADUS d.o.o. za privremeno zapošljavanje i posredovanje u zapošljavanju, OIB 24260602705</item>
    </izvorni_sadrzaj>
    <derivirana_varijabla naziv="DomainObject.Predmet.StrankaListNazivFormatedOIB_1">
      <item>Financijska agencija Podružnica Zadar, OIB 85821130368</item>
      <item>Neven Badurina, OIB 18315732236</item>
      <item>KADUS d.o.o. za privremeno zapošljavanje i posredovanje u zapošljavanju, OIB 24260602705</item>
    </derivirana_varijabla>
  </DomainObject.Predmet.StrankaListNazivFormatedOIB>
  <DomainObject.Predmet.ProtuStrankaListFormated>
    <izvorni_sadrzaj>
      <item>LUNA HOTEL društvo s ograničenom odgovornošću za usluge</item>
    </izvorni_sadrzaj>
    <derivirana_varijabla naziv="DomainObject.Predmet.ProtuStrankaListFormated_1">
      <item>LUNA HOTEL društvo s ograničenom odgovornošću za usluge</item>
    </derivirana_varijabla>
  </DomainObject.Predmet.ProtuStrankaListFormated>
  <DomainObject.Predmet.ProtuStrankaListFormatedOIB>
    <izvorni_sadrzaj>
      <item>LUNA HOTEL društvo s ograničenom odgovornošću za usluge, OIB 31558008249</item>
    </izvorni_sadrzaj>
    <derivirana_varijabla naziv="DomainObject.Predmet.ProtuStrankaListFormatedOIB_1">
      <item>LUNA HOTEL društvo s ograničenom odgovornošću za usluge, OIB 31558008249</item>
    </derivirana_varijabla>
  </DomainObject.Predmet.ProtuStrankaListFormatedOIB>
  <DomainObject.Predmet.ProtuStrankaListFormatedWithAdress>
    <izvorni_sadrzaj>
      <item>LUNA HOTEL društvo s ograničenom odgovornošću za usluge, Hrvatske vlade 1, 23422 Stankovci</item>
    </izvorni_sadrzaj>
    <derivirana_varijabla naziv="DomainObject.Predmet.ProtuStrankaListFormatedWithAdress_1">
      <item>LUNA HOTEL društvo s ograničenom odgovornošću za usluge, Hrvatske vlade 1, 23422 Stankovci</item>
    </derivirana_varijabla>
  </DomainObject.Predmet.ProtuStrankaListFormatedWithAdress>
  <DomainObject.Predmet.ProtuStrankaListFormatedWithAdressOIB>
    <izvorni_sadrzaj>
      <item>LUNA HOTEL društvo s ograničenom odgovornošću za usluge, OIB 31558008249, Hrvatske vlade 1, 23422 Stankovci</item>
    </izvorni_sadrzaj>
    <derivirana_varijabla naziv="DomainObject.Predmet.ProtuStrankaListFormatedWithAdressOIB_1">
      <item>LUNA HOTEL društvo s ograničenom odgovornošću za usluge, OIB 31558008249, Hrvatske vlade 1, 23422 Stankovci</item>
    </derivirana_varijabla>
  </DomainObject.Predmet.ProtuStrankaListFormatedWithAdressOIB>
  <DomainObject.Predmet.ProtuStrankaListNazivFormated>
    <izvorni_sadrzaj>
      <item>LUNA HOTEL društvo s ograničenom odgovornošću za usluge</item>
    </izvorni_sadrzaj>
    <derivirana_varijabla naziv="DomainObject.Predmet.ProtuStrankaListNazivFormated_1">
      <item>LUNA HOTEL društvo s ograničenom odgovornošću za usluge</item>
    </derivirana_varijabla>
  </DomainObject.Predmet.ProtuStrankaListNazivFormated>
  <DomainObject.Predmet.ProtuStrankaListNazivFormatedOIB>
    <izvorni_sadrzaj>
      <item>LUNA HOTEL društvo s ograničenom odgovornošću za usluge, OIB 31558008249</item>
    </izvorni_sadrzaj>
    <derivirana_varijabla naziv="DomainObject.Predmet.ProtuStrankaListNazivFormatedOIB_1">
      <item>LUNA HOTEL društvo s ograničenom odgovornošću za usluge, OIB 31558008249</item>
    </derivirana_varijabla>
  </DomainObject.Predmet.ProtuStrankaListNazivFormatedOIB>
  <DomainObject.Predmet.OstaliListFormated>
    <izvorni_sadrzaj>
      <item>Dora Vukušić</item>
    </izvorni_sadrzaj>
    <derivirana_varijabla naziv="DomainObject.Predmet.OstaliListFormated_1">
      <item>Dora Vukušić</item>
    </derivirana_varijabla>
  </DomainObject.Predmet.OstaliListFormated>
  <DomainObject.Predmet.OstaliListFormatedOIB>
    <izvorni_sadrzaj>
      <item>Dora Vukušić, OIB 06960594269</item>
    </izvorni_sadrzaj>
    <derivirana_varijabla naziv="DomainObject.Predmet.OstaliListFormatedOIB_1">
      <item>Dora Vukušić, OIB 06960594269</item>
    </derivirana_varijabla>
  </DomainObject.Predmet.OstaliListFormatedOIB>
  <DomainObject.Predmet.OstaliListFormatedWithAdress>
    <izvorni_sadrzaj>
      <item>Dora Vukušić, Triljska 23a, 21000 Split</item>
    </izvorni_sadrzaj>
    <derivirana_varijabla naziv="DomainObject.Predmet.OstaliListFormatedWithAdress_1">
      <item>Dora Vukušić, Triljska 23a, 21000 Split</item>
    </derivirana_varijabla>
  </DomainObject.Predmet.OstaliListFormatedWithAdress>
  <DomainObject.Predmet.OstaliListFormatedWithAdressOIB>
    <izvorni_sadrzaj>
      <item>Dora Vukušić, OIB 06960594269, Triljska 23a, 21000 Split</item>
    </izvorni_sadrzaj>
    <derivirana_varijabla naziv="DomainObject.Predmet.OstaliListFormatedWithAdressOIB_1">
      <item>Dora Vukušić, OIB 06960594269, Triljska 23a, 21000 Split</item>
    </derivirana_varijabla>
  </DomainObject.Predmet.OstaliListFormatedWithAdressOIB>
  <DomainObject.Predmet.OstaliListNazivFormated>
    <izvorni_sadrzaj>
      <item>Dora Vukušić</item>
    </izvorni_sadrzaj>
    <derivirana_varijabla naziv="DomainObject.Predmet.OstaliListNazivFormated_1">
      <item>Dora Vukušić</item>
    </derivirana_varijabla>
  </DomainObject.Predmet.OstaliListNazivFormated>
  <DomainObject.Predmet.OstaliListNazivFormatedOIB>
    <izvorni_sadrzaj>
      <item>Dora Vukušić, OIB 06960594269</item>
    </izvorni_sadrzaj>
    <derivirana_varijabla naziv="DomainObject.Predmet.OstaliListNazivFormatedOIB_1">
      <item>Dora Vukušić, OIB 06960594269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rujna 2020.</izvorni_sadrzaj>
    <derivirana_varijabla naziv="DomainObject.Datum_1">23. rujna 2020.</derivirana_varijabla>
  </DomainObject.Datum>
  <DomainObject.PoslovniBrojDokumenta>
    <izvorni_sadrzaj>St-11/2019-75</izvorni_sadrzaj>
    <derivirana_varijabla naziv="DomainObject.PoslovniBrojDokumenta_1">St-11/2019-75</derivirana_varijabla>
  </DomainObject.PoslovniBrojDokumenta>
  <DomainObject.Predmet.StrankaIDrugi>
    <izvorni_sadrzaj>Financijska agencija Podružnica Zadar i dr.</izvorni_sadrzaj>
    <derivirana_varijabla naziv="DomainObject.Predmet.StrankaIDrugi_1">Financijska agencija Podružnica Zadar i dr.</derivirana_varijabla>
  </DomainObject.Predmet.StrankaIDrugi>
  <DomainObject.Predmet.ProtustrankaIDrugi>
    <izvorni_sadrzaj>LUNA HOTEL društvo s ograničenom odgovornošću za usluge</izvorni_sadrzaj>
    <derivirana_varijabla naziv="DomainObject.Predmet.ProtustrankaIDrugi_1">LUNA HOTEL društvo s ograničenom odgovornošću za usluge</derivirana_varijabla>
  </DomainObject.Predmet.ProtustrankaIDrugi>
  <DomainObject.Predmet.StrankaIDrugiAdressOIB>
    <izvorni_sadrzaj>Financijska agencija Podružnica Zadar, OIB 85821130368 i dr.</izvorni_sadrzaj>
    <derivirana_varijabla naziv="DomainObject.Predmet.StrankaIDrugiAdressOIB_1">Financijska agencija Podružnica Zadar, OIB 85821130368 i dr.</derivirana_varijabla>
  </DomainObject.Predmet.StrankaIDrugiAdressOIB>
  <DomainObject.Predmet.ProtustrankaIDrugiAdressOIB>
    <izvorni_sadrzaj>LUNA HOTEL društvo s ograničenom odgovornošću za usluge, OIB 31558008249, Hrvatske vlade 1, 23422 Stankovci</izvorni_sadrzaj>
    <derivirana_varijabla naziv="DomainObject.Predmet.ProtustrankaIDrugiAdressOIB_1">LUNA HOTEL društvo s ograničenom odgovornošću za usluge, OIB 31558008249,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LUNA HOTEL društvo s ograničenom odgovornošću za usluge</item>
      <item>Financijska agencija Podružnica Zadar</item>
      <item>Dora Vukušić</item>
      <item>Neven Badurina</item>
      <item>KADUS d.o.o. za privremeno zapošljavanje i posredovanje u zapošljavanju</item>
    </izvorni_sadrzaj>
    <derivirana_varijabla naziv="DomainObject.Predmet.SudioniciListNaziv_1">
      <item>LUNA HOTEL društvo s ograničenom odgovornošću za usluge</item>
      <item>Financijska agencija Podružnica Zadar</item>
      <item>Dora Vukušić</item>
      <item>Neven Badurina</item>
      <item>KADUS d.o.o. za privremeno zapošljavanje i posredovanje u zapošljavanju</item>
    </derivirana_varijabla>
  </DomainObject.Predmet.SudioniciListNaziv>
  <DomainObject.Predmet.SudioniciListAdressOIB>
    <izvorni_sadrzaj>
      <item>LUNA HOTEL društvo s ograničenom odgovornošću za usluge, OIB 31558008249, Hrvatske vlade 1,23422 Stankovci</item>
      <item>Financijska agencija Podružnica Zadar, OIB 85821130368</item>
      <item>Dora Vukušić, OIB 06960594269, Triljska 23a,21000 Split</item>
      <item>Neven Badurina, OIB 18315732236, Jakišnica 289c,53294 Lun</item>
      <item>KADUS d.o.o. za privremeno zapošljavanje i posredovanje u zapošljavanju, OIB 24260602705, Kneza Branimira 24,10000 Zagreb</item>
    </izvorni_sadrzaj>
    <derivirana_varijabla naziv="DomainObject.Predmet.SudioniciListAdressOIB_1">
      <item>LUNA HOTEL društvo s ograničenom odgovornošću za usluge, OIB 31558008249, Hrvatske vlade 1,23422 Stankovci</item>
      <item>Financijska agencija Podružnica Zadar, OIB 85821130368</item>
      <item>Dora Vukušić, OIB 06960594269, Triljska 23a,21000 Split</item>
      <item>Neven Badurina, OIB 18315732236, Jakišnica 289c,53294 Lun</item>
      <item>KADUS d.o.o. za privremeno zapošljavanje i posredovanje u zapošljavanju, OIB 24260602705, Kneza Branimira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31558008249</item>
      <item>, OIB 85821130368</item>
      <item>, OIB 06960594269</item>
      <item>, OIB 18315732236</item>
      <item>, OIB 24260602705</item>
    </izvorni_sadrzaj>
    <derivirana_varijabla naziv="DomainObject.Predmet.SudioniciListNazivOIB_1">
      <item>, OIB 31558008249</item>
      <item>, OIB 85821130368</item>
      <item>, OIB 06960594269</item>
      <item>, OIB 18315732236</item>
      <item>, OIB 24260602705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kolovoza 2018.</izvorni_sadrzaj>
    <derivirana_varijabla naziv="DomainObject.Predmet.DatumPocetkaProcesa_1">13. kolovoza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9584FD-5F70-4E86-99AC-E76E1835419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2</properties:Pages>
  <properties:Words>617</properties:Words>
  <properties:Characters>3453</properties:Characters>
  <properties:Lines>123</properties:Lines>
  <properties:Paragraphs>48</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2020-09-22T12:36:00Z</dcterms:created>
  <dc:creator>abajlo</dc:creator>
  <cp:lastModifiedBy>Ante Rubelj</cp:lastModifiedBy>
  <cp:lastPrinted>2020-09-23T07:36:00Z</cp:lastPrinted>
  <dcterms:modified xmlns:xsi="http://www.w3.org/2001/XMLSchema-instance" xsi:type="dcterms:W3CDTF">2020-09-23T10:49:00Z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St-11/2019-75 / Zapisnik - Skupština vjerovnika (1St-11-19 skupština vjerovnika 23.9.2020.docx)</vt:lpwstr>
  </prop:property>
  <prop:property fmtid="{D5CDD505-2E9C-101B-9397-08002B2CF9AE}" pid="4" name="CC_coloring">
    <vt:bool>false</vt:bool>
  </prop:property>
  <prop:property fmtid="{D5CDD505-2E9C-101B-9397-08002B2CF9AE}" pid="5" name="BrojStranica">
    <vt:i4>2</vt:i4>
  </prop:property>
</prop:Properties>
</file>